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GenTSV 2021 — Anpassung von Maßnahmen der Arbeitssicherheit und Überwachung des Arbeitsbereiches</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Hat sich der Stand der Sicherheitstechnik eines Arbeitsverfahrens fortentwickelt und hat sich die Sicherheitstechnik bewährt und erhöht sich die Arbeitssicherheit hierdurch erheblich, hat der Betreiber das dem Stand der Sicherheitstechnik nicht entsprechende Arbeitsverfahren innerhalb einer angemessenen Frist dieser Fortentwicklung anzupassen.</w:t>
      </w:r>
    </w:p>
    <w:p>
      <w:r>
        <w:t xml:space="preserve">(2) Ist das Auftreten gentechnisch veränderter Organismen in einer Konzentration, die eine Gefährdung für die menschliche Gesundheit darstellt oder darstellen könnte, nach dem Stand von Wissenschaft und Technik nicht auszuschließen, ist der Arbeitsbereich durch geeignete Maßnahmen zu überwachen.</w:t>
      </w:r>
    </w:p>
    <w:p>
      <w:r>
        <w:rPr>
          <w:color w:val="555555"/>
          <w:sz w:val="17"/>
        </w:rPr>
        <w:t xml:space="preserve">Zitiervorschlag: § 19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