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GenTSV 2021 — Arbeitssicherheit bei Prüfung, Wartung und Veränderung von Anlagen, Apparaturen und Einrichtungen</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Prüfungs-, Instandhaltungs-, Reinigungs-, Änderungs- oder Abbrucharbeiten in oder an Anlagen, Apparaturen oder Einrichtungen, in denen gentechnische Arbeiten der Sicherheitsstufe 2, 3 oder 4 durchgeführt wurden, dürfen nur vorgenommen werden, wenn eine schriftliche Erlaubnis des Betreibers, des Projektleiters oder des für den Betrieb der Anlage, der Apparatur oder der Einrichtung unmittelbar Verantwortlichen oder dessen Vorgesetzten vorliegt.</w:t>
      </w:r>
    </w:p>
    <w:p>
      <w:r>
        <w:t xml:space="preserve">(2) Voraussetzungen für Arbeiten nach Absatz 1 sind, dass die notwendigen Sicherheitsmaßnahmen getroffen und die Beschäftigten arbeitsplatzbezogen unterwiesen worden sind.</w:t>
      </w:r>
    </w:p>
    <w:p>
      <w:r>
        <w:t xml:space="preserve">(3) Vor der Durchführung von Prüfungs-, Instandhaltungs-, Reinigungs-, Änderungs- oder Abbrucharbeiten sind die Anlagen, Apparaturen und Geräte zu desinfizieren. Ist dies nicht ausreichend möglich, dürfen die Prüfungs-, Instandhaltungs-, Reinigungs-, Änderungs- oder Abbrucharbeiten nur unter Anwendung technischer Schutzmaßnahmen oder unter Verwendung geeigneter persönlicher Schutzausrüstung durchgeführt werden. Dabei ist die persönliche Schutzausrüstung nachrangig zu technischen Schutzmaßnahmen.</w:t>
      </w:r>
    </w:p>
    <w:p>
      <w:r>
        <w:t xml:space="preserve">(4) Für die Prüfung, Wartung und Instandsetzung kontaminierter Geräte gelten die Absätze 1 und 2 entsprechend.</w:t>
      </w:r>
    </w:p>
    <w:p>
      <w:r>
        <w:t xml:space="preserve">(5) Für regelmäßige Arbeiten im Sinne der Absätze 1 und 3 kann eine entsprechende Dauererlaubnis erteilt werden; bei erteilter Dauererlaubnis sind die Beschäftigten mindestens einmal jährlich zu unterweisen.</w:t>
      </w:r>
    </w:p>
    <w:p>
      <w:r>
        <w:t xml:space="preserve">(6) Auf die Tätigkeiten nach Absatz 1 sind § 13 Absatz 1 Satz 1 und § 20 entsprechend anzuwenden.</w:t>
      </w:r>
    </w:p>
    <w:p>
      <w:r>
        <w:rPr>
          <w:color w:val="555555"/>
          <w:sz w:val="17"/>
        </w:rPr>
        <w:t xml:space="preserve">Zitiervorschlag: § 18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