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GenTSV 2021 — Sicherheitsmaßnahmen für Tierräume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(1) Werden in Tierräumen Tiere gehalten, die durch gentechnische Arbeiten entstanden sind oder die bei gentechnischen Arbeiten verwendet werden, oder wird mit diesen Tieren umgegangen, sind bei gentechnischen Arbeiten der Sicherheitsstufen 1 bis 4 nach § 7 Absatz 1 Satz 1 des Gentechnikgesetzes die in Anlage 4 genannten Sicherheitsmaßnahmen zu beachten.</w:t>
      </w:r>
    </w:p>
    <w:p>
      <w:r>
        <w:t xml:space="preserve">(2) Sofern in Tierräumen mit gentechnisch veränderten Mikroorganismen gearbeitet wird, gelten zusätzlich entsprechend und je nach Sicherheitsstufe der gentechnischen Arbeit die Sicherheitsmaßnahmen der Anlage 2 für den Laborbereich.</w:t>
      </w:r>
    </w:p>
    <w:p>
      <w:r>
        <w:t xml:space="preserve">(3) § 14 Absatz 3 gilt entsprechend.</w:t>
      </w:r>
    </w:p>
    <w:p>
      <w:r>
        <w:rPr>
          <w:color w:val="555555"/>
          <w:sz w:val="17"/>
        </w:rPr>
        <w:t xml:space="preserve">Zitiervorschlag: § 16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