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GenTSV 2021 — Gentechnische Arbeiten zur Herstellung von hochwirksamen Toxinen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Gentechnische Arbeiten, die darauf gerichtet sind, hochwirksame Toxine herzustellen, sind der Sicherheitsstufe 3 zuzuordnen.</w:t>
      </w:r>
    </w:p>
    <w:p>
      <w:r>
        <w:t xml:space="preserve">(2) Die Zentrale Kommission für die Biologische Sicherheit gibt Empfehlungen zu den erforderlichen technischen und biologischen Sicherheitsmaßnahmen ab, die die Wirkungsweise dieser Toxine berücksichtigen.</w:t>
      </w:r>
    </w:p>
    <w:p>
      <w:r>
        <w:t xml:space="preserve">(3) § 7 Absatz 1 findet Anwendung.</w:t>
      </w:r>
    </w:p>
    <w:p>
      <w:r>
        <w:rPr>
          <w:color w:val="555555"/>
          <w:sz w:val="17"/>
        </w:rPr>
        <w:t xml:space="preserve">Zitiervorschlag: § 12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