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GenTSV 2021 — Anwendungsbereich</w:t>
      </w:r>
    </w:p>
    <w:p>
      <w:r>
        <w:rPr>
          <w:color w:val="555555"/>
          <w:sz w:val="18"/>
        </w:rPr>
        <w:t xml:space="preserve">Gentechnik-Sicherheitsverordnung</w:t>
      </w:r>
    </w:p>
    <w:p>
      <w:r>
        <w:rPr>
          <w:color w:val="555555"/>
          <w:sz w:val="18"/>
        </w:rPr>
        <w:t xml:space="preserve">Stand: 01.03.2021 (konsolidierte Textfassung, kein amtliches Inkrafttretensdatum)</w:t>
      </w:r>
    </w:p>
    <w:p>
      <w:r>
        <w:t xml:space="preserve">Diese Verordnung regelt Sicherheitsanforderungen an gentechnische Arbeiten in gentechnischen Anlagen einschließlich der Tätigkeiten im Gefahrenbereich. Die Regelungen in den Abschnitten 4, 5 und 6 gelten auch für Freisetzungen. Nach anderen Vorschriften erforderliche Arbeitsschutz- und Sicherheitsmaßnahmen bleiben unberührt.</w:t>
      </w:r>
    </w:p>
    <w:p>
      <w:r>
        <w:rPr>
          <w:color w:val="555555"/>
          <w:sz w:val="17"/>
        </w:rPr>
        <w:t xml:space="preserve">Zitiervorschlag: § 1 GenTSV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https://recht.nulegal.eu/gesetze/GenTSV%202021/1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