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GenTPflEV — Lagerung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Erzeuger hat zum Schutz gegen Einträge in fremde Grundstücke, insbesondere durch Witterungseinflüsse oder Verschleppung durch Tiere,</w:t>
      </w:r>
    </w:p>
    <w:p>
      <w:pPr>
        <w:ind w:left="420"/>
      </w:pPr>
      <w:r>
        <w:t xml:space="preserve">1. gentechnisch verändertes Saat- oder Pflanzgut in geschlossenen Behältnissen oder sorgfältig abgedeckt und getrennt von nicht gentechnisch verändertem Saat- oder Pflanzgut derselben Art,</w:t>
      </w:r>
    </w:p>
    <w:p>
      <w:pPr>
        <w:ind w:left="420"/>
      </w:pPr>
      <w:r>
        <w:t xml:space="preserve">2. Erntegut gentechnisch veränderter Pflanzen, soweit es vermehrungsfähige Bestandteile enthält, in geschlossenen Lagerräumen oder sorgfältig abgedeckt</w:t>
      </w:r>
    </w:p>
    <w:p>
      <w:r>
        <w:t xml:space="preserve">zu lagern. Die Behältnisse und das gelagerte Erntegut sind zu kennzeichnen. Wird das Erntegut auf der Fläche gelagert, die im Standortregister gemeldet ist, so entfällt die Kennzeichnung.</w:t>
      </w:r>
    </w:p>
    <w:p>
      <w:r>
        <w:rPr>
          <w:color w:val="555555"/>
          <w:sz w:val="17"/>
        </w:rPr>
        <w:t xml:space="preserve">Zitiervorschlag: § 6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