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GenTPflEV — Anfragepflicht</w:t>
      </w:r>
    </w:p>
    <w:p>
      <w:r>
        <w:rPr>
          <w:color w:val="555555"/>
          <w:sz w:val="18"/>
        </w:rPr>
        <w:t xml:space="preserve">Gentechnik-Pflanzenerzeugungsverordnung</w:t>
      </w:r>
    </w:p>
    <w:p>
      <w:r>
        <w:rPr>
          <w:color w:val="555555"/>
          <w:sz w:val="18"/>
        </w:rPr>
        <w:t xml:space="preserve">Stand: 10.06.2019 (konsolidierte Textfassung, kein amtliches Inkrafttretensdatum)</w:t>
      </w:r>
    </w:p>
    <w:p>
      <w:r>
        <w:t xml:space="preserve">Soweit eine nach § 16 Abs. 5a des Gentechnikgesetzes öffentlich bekannt gemachte Genehmigung besondere Bedingungen für die Verwendung zum Schutz besonderer Ökosysteme, Umweltgegebenheiten oder geografischer Gebiete enthält, hat der Erzeuger spätestens drei Monate vor der erstmaligen Aussaat oder Anpflanzung bei der nach Landesrecht zuständigen Behörde oder einer anderen nach Landesrecht beauftragten Stelle anzufragen, ob und inwieweit diese Bedingungen in seinem Fall einschlägig sind. Satz 1 findet entsprechende Anwendung, wenn sich die in der Genehmigung enthaltenen Verwendungsbedingungen geändert haben. Sollten sich nach der Beantwortung der Anfrage nach Satz 1 aus naturschutzfachlicher Sicht Änderungen bezüglich des Schutzes besonderer Ökosysteme, Umweltgegebenheiten oder geografischer Gebiete ergeben, informiert die zuständige Landesbehörde den Bewirtschafter über diese Änderungen.</w:t>
      </w:r>
    </w:p>
    <w:p>
      <w:r>
        <w:rPr>
          <w:color w:val="555555"/>
          <w:sz w:val="17"/>
        </w:rPr>
        <w:t xml:space="preserve">Zitiervorschlag: § 5 GenTPflEV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https://recht.nulegal.eu/gesetze/GenTPflEV/5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