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GenTPflEV — Anpassungspflicht</w:t>
      </w:r>
    </w:p>
    <w:p>
      <w:r>
        <w:rPr>
          <w:color w:val="555555"/>
          <w:sz w:val="18"/>
        </w:rPr>
        <w:t xml:space="preserve">Gentechnik-Pflanzenerzeugungsverordnung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Erzeuger hat dafür zu sorgen, dass die Anbauflächen den in der Anlage zu dieser Verordnung für die jeweilige Pflanzenart aufgeführten Anforderungen entsprechen. Hierbei hat er die nach § 3 fristgerecht eingegangenen Angaben der Nachbarn zu berücksichtigen.</w:t>
      </w:r>
    </w:p>
    <w:p>
      <w:r>
        <w:rPr>
          <w:color w:val="555555"/>
          <w:sz w:val="17"/>
        </w:rPr>
        <w:t xml:space="preserve">Zitiervorschlag: § 4 GenTPflEV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https://recht.nulegal.eu/gesetze/GenTPflEV/4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