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GenTPflEV — Begriffsbestimmungen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sind</w:t>
      </w:r>
    </w:p>
    <w:p>
      <w:pPr>
        <w:ind w:left="420"/>
      </w:pPr>
      <w:r>
        <w:t xml:space="preserve">1. Anbaufläche: eine landwirtschaftlich, forstwirtschaftlich oder gartenbauwirtschaftlich genutzte Fläche, die mit gentechnisch veränderten Pflanzen bestellt worden oder dafür vorgesehen ist,</w:t>
      </w:r>
    </w:p>
    <w:p>
      <w:pPr>
        <w:ind w:left="420"/>
      </w:pPr>
      <w:r>
        <w:t xml:space="preserve">2. benachbarte Fläche: eine landwirtschaftlich, forstwirtschaftlich oder gartenbauwirtschaftlich genutzte Fläche, die – ganz oder zum Teil – innerhalb des in der Anlage für die jeweilige Pflanzenart festgelegten Abstands vom Rand der Anbaufläche liegt,</w:t>
      </w:r>
    </w:p>
    <w:p>
      <w:pPr>
        <w:ind w:left="420"/>
      </w:pPr>
      <w:r>
        <w:t xml:space="preserve">3. Erzeuger: ein Bewirtschafter einer Anbaufläche,</w:t>
      </w:r>
    </w:p>
    <w:p>
      <w:pPr>
        <w:ind w:left="420"/>
      </w:pPr>
      <w:r>
        <w:t xml:space="preserve">4. Nachbar: ein Bewirtschafter einer benachbarten Fläche.</w:t>
      </w:r>
    </w:p>
    <w:p>
      <w:r>
        <w:rPr>
          <w:color w:val="555555"/>
          <w:sz w:val="17"/>
        </w:rPr>
        <w:t xml:space="preserve">Zitiervorschlag: § 2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