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GenTNotfV — Übergangsregelung</w:t>
      </w:r>
    </w:p>
    <w:p>
      <w:r>
        <w:rPr>
          <w:color w:val="555555"/>
          <w:sz w:val="18"/>
        </w:rPr>
        <w:t xml:space="preserve">Gentechnik-Notfallverordnung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hat in den Fällen des § 3 Abs. 1 Satz 1 für die vor dem Zeitpunkt des Inkrafttretens dieser Verordnung bereits angemeldeten oder genehmigten gentechnischen Arbeiten der Sicherheitsstufe 3 oder 4 innerhalb von 3 Monaten nach Inkrafttreten dieser Verordnung einen außerbetrieblichen Notfallplan zu erstellen, sofern nicht die angemeldete oder genehmigte gentechnische Arbeit beendet ist.</w:t>
      </w:r>
    </w:p>
    <w:p>
      <w:r>
        <w:rPr>
          <w:color w:val="555555"/>
          <w:sz w:val="17"/>
        </w:rPr>
        <w:t xml:space="preserve">Zitiervorschlag: § 9 GenTNotfV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https://recht.nulegal.eu/gesetze/GenTNotfV/9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