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GenTNotfV — Analyse des Unfalls</w:t>
      </w:r>
    </w:p>
    <w:p>
      <w:r>
        <w:rPr>
          <w:color w:val="555555"/>
          <w:sz w:val="18"/>
        </w:rPr>
        <w:t xml:space="preserve">Gentechnik-Notfallverordnung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hat eine Analyse des Unfalls zu erstellen und gegebenenfalls Empfehlungen zur Vermeidung ähnlicher Unfälle in der Zukunft und zur Begrenzung ihrer Auswirkungen abzugeben.</w:t>
      </w:r>
    </w:p>
    <w:p>
      <w:r>
        <w:t xml:space="preserve">(2) Die zuständige Behörde übermittelt die Analyse den in § 5 Abs. 2 genannten Behörden.</w:t>
      </w:r>
    </w:p>
    <w:p>
      <w:r>
        <w:rPr>
          <w:color w:val="555555"/>
          <w:sz w:val="17"/>
        </w:rPr>
        <w:t xml:space="preserve">Zitiervorschlag: § 7 GenTNotfV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https://recht.nulegal.eu/gesetze/GenTNotfV/7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