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GenTNotfV — Meldepflichten</w:t>
      </w:r>
    </w:p>
    <w:p>
      <w:r>
        <w:rPr>
          <w:color w:val="555555"/>
          <w:sz w:val="18"/>
        </w:rPr>
        <w:t xml:space="preserve">Gentechnik-Notfallverordnung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hat bei einem Unfall die zuständige Behörde unverzüglich zu unterrichten und dabei folgendes anzugeben:</w:t>
      </w:r>
    </w:p>
    <w:p>
      <w:pPr>
        <w:ind w:left="420"/>
      </w:pPr>
      <w:r>
        <w:t xml:space="preserve">1. die Umstände des Unfalls,</w:t>
      </w:r>
    </w:p>
    <w:p>
      <w:pPr>
        <w:ind w:left="420"/>
      </w:pPr>
      <w:r>
        <w:t xml:space="preserve">2. die Identität und Mengen der entwichenen gentechnisch veränderten Organismen,</w:t>
      </w:r>
    </w:p>
    <w:p>
      <w:pPr>
        <w:ind w:left="420"/>
      </w:pPr>
      <w:r>
        <w:t xml:space="preserve">3. alle anderen für die Bewertung der Auswirkungen des Unfalls auf die in § 1 Nr. 1 des Gentechnikgesetzes bezeichneten Rechtsgüter notwendigen Informationen,</w:t>
      </w:r>
    </w:p>
    <w:p>
      <w:pPr>
        <w:ind w:left="420"/>
      </w:pPr>
      <w:r>
        <w:t xml:space="preserve">4. die getroffenen Maßnahmen.</w:t>
      </w:r>
    </w:p>
    <w:p>
      <w:r>
        <w:t xml:space="preserve">(2) Die zuständige Behörde hat die Angaben nach Absatz 1 unverzüglich dem Bundesamt für Verbraucherschutz und Lebensmittelsicherheit und den anderen Behörden zu übermitteln, deren Zuständigkeit ebenfalls betroffen sein kann.</w:t>
      </w:r>
    </w:p>
    <w:p>
      <w:r>
        <w:rPr>
          <w:color w:val="555555"/>
          <w:sz w:val="17"/>
        </w:rPr>
        <w:t xml:space="preserve">Zitiervorschlag: § 5 GenTNotfV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https://recht.nulegal.eu/gesetze/GenTNotfV/5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