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GenTNotfV — Begriffsbestimmungen</w:t>
      </w:r>
    </w:p>
    <w:p>
      <w:r>
        <w:rPr>
          <w:color w:val="555555"/>
          <w:sz w:val="18"/>
        </w:rPr>
        <w:t xml:space="preserve">Gentechnik-Notfallverordnung</w:t>
      </w:r>
    </w:p>
    <w:p>
      <w:r>
        <w:rPr>
          <w:color w:val="555555"/>
          <w:sz w:val="18"/>
        </w:rPr>
        <w:t xml:space="preserve">Stand: 10.06.2019 (konsolidierte Textfassung, kein amtliches Inkrafttretensdatum)</w:t>
      </w:r>
    </w:p>
    <w:p>
      <w:r>
        <w:t xml:space="preserve">(1) Unfall im Sinne dieser Verordnung ist jedes Vorkommnis, das ein vom Betreiber nicht beabsichtigtes Entweichen gentechnisch veränderter Organismen in bedeutendem Umfang aus der gentechnischen Anlage mit sich bringt und zu einer Gefahr für die in § 1 Nr. 1 des Gentechnikgesetzes bezeichneten Rechtsgüter führen kann.</w:t>
      </w:r>
    </w:p>
    <w:p>
      <w:r>
        <w:t xml:space="preserve">(2) Ein außerbetrieblicher Notfallplan im Sinne dieser Verordnung enthält Informationen und legt Organisations- und Sicherheitsmaßnahmen fest, um im Falle eines Unfalls die in § 1 Nr. 1 des Gentechnikgesetzes bezeichneten Rechtsgüter außerhalb des Betriebs- oder Institutsgeländes, auf dem die gentechnische Anlage betrieben wird, zu schützen.</w:t>
      </w:r>
    </w:p>
    <w:p>
      <w:r>
        <w:rPr>
          <w:color w:val="555555"/>
          <w:sz w:val="17"/>
        </w:rPr>
        <w:t xml:space="preserve">Zitiervorschlag: § 2 GenTNotfV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https://recht.nulegal.eu/gesetze/GenTNotfV/2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