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GenTNotfV — Anwendungsbereich</w:t>
      </w:r>
    </w:p>
    <w:p>
      <w:r>
        <w:rPr>
          <w:color w:val="555555"/>
          <w:sz w:val="18"/>
        </w:rPr>
        <w:t xml:space="preserve">Gentechnik-Notfallverordnung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für gentechnische Anlagen, in denen gentechnische Arbeiten der Sicherheitsstufe 2, 3 oder 4 im Sinne des § 7 Abs. 1 des Gentechnikgesetzes durchgeführt werden. Die §§ 3 und 4 gelten nicht für gentechnische Anlagen, in denen gentechnische Arbeiten der Sicherheitsstufe 2 durchgeführt werden.</w:t>
      </w:r>
    </w:p>
    <w:p>
      <w:r>
        <w:rPr>
          <w:color w:val="555555"/>
          <w:sz w:val="17"/>
        </w:rPr>
        <w:t xml:space="preserve">Zitiervorschlag: § 1 GenTNotfV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https://recht.nulegal.eu/gesetze/GenTNotfV/1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