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GenTG — Allgemeine Sorgfalts- und Aufzeichnungspflichten, Gefahrenvorsorge</w:t>
      </w:r>
    </w:p>
    <w:p>
      <w:r>
        <w:rPr>
          <w:color w:val="555555"/>
          <w:sz w:val="18"/>
        </w:rPr>
        <w:t xml:space="preserve">Gentechnikgesetz</w:t>
      </w:r>
    </w:p>
    <w:p>
      <w:r>
        <w:rPr>
          <w:color w:val="555555"/>
          <w:sz w:val="18"/>
        </w:rPr>
        <w:t xml:space="preserve">Stand: 10.06.2019 (konsolidierte Textfassung, kein amtliches Inkrafttretensdatum)</w:t>
      </w:r>
    </w:p>
    <w:p>
      <w:r>
        <w:t xml:space="preserve">(1) Wer gentechnische Anlagen errichtet oder betreibt, gentechnische Arbeiten durchführt, gentechnisch veränderte Organismen freisetzt oder Produkte, die gentechnisch veränderte Organismen enthalten oder aus solchen bestehen, als Betreiber in Verkehr bringt, hat die damit verbundenen Risiken für die in § 1 Nr. 1 genannten Rechtsgüter vorher umfassend zu bewerten (Risikobewertung) und diese Risikobewertung und die Sicherheitsmaßnahmen in regelmäßigen Abständen zu prüfen und, wenn es nach dem Prüfungsergebnis erforderlich ist, zu überarbeiten, jedoch unverzüglich, wenn</w:t>
      </w:r>
    </w:p>
    <w:p>
      <w:pPr>
        <w:ind w:left="420"/>
      </w:pPr>
      <w:r>
        <w:t xml:space="preserve">1. die angewandten Sicherheitsmaßnahmen nicht mehr angemessen sind oder die der gentechnischen Arbeit zugewiesene Sicherheitsstufe nicht mehr zutreffend ist oder</w:t>
      </w:r>
    </w:p>
    <w:p>
      <w:pPr>
        <w:ind w:left="420"/>
      </w:pPr>
      <w:r>
        <w:t xml:space="preserve">2. die begründete Annahme besteht, dass die Risikobewertung nicht mehr dem neuesten wissenschaftlichen und technischen Kenntnisstand entspricht.</w:t>
      </w:r>
    </w:p>
    <w:p>
      <w:r>
        <w:t xml:space="preserve">Bei der Risikobewertung durch die zuständige Bundesoberbehörde ist eine Verwendung von Antibiotikaresistenzmarkern in gentechnisch veränderten Organismen, die Resistenz gegen in der ärztlichen oder tierärztlichen Behandlung verwendete Antibiotika vermitteln, im Hinblick auf die Identifizierung und die schrittweise Einstellung der Verwendung von Antibiotikaresistenzmarkern in gentechnisch veränderten Organismen, die schädliche Auswirkungen auf die menschliche Gesundheit oder die Umwelt haben können, für das Inverkehrbringen bis zum 31. Dezember 2004 und für die Freisetzung bis zum 31. Dezember 2008 besonders zu berücksichtigen.</w:t>
      </w:r>
    </w:p>
    <w:p>
      <w:r>
        <w:t xml:space="preserve">(2) Der Betreiber hat entsprechend dem Ergebnis der Risikobewertung die nach dem Stand von Wissenschaft und Technik notwendigen Vorkehrungen zu treffen und unverzüglich anzupassen, um die in § 1 Nr. 1 genannten Rechtsgüter vor möglichen Gefahren zu schützen und dem Entstehen solcher Gefahren vorzubeugen. Der Betreiber hat sicherzustellen, daß auch nach einer Betriebseinstellung von der Anlage keine Gefahren für die in § 1 Nr. 1 genannten Rechtsgüter ausgehen können.</w:t>
      </w:r>
    </w:p>
    <w:p>
      <w:r>
        <w:t xml:space="preserve">(3) Über die Durchführung gentechnischer Arbeiten und von Freisetzungen hat der Betreiber Aufzeichnungen zu führen und der zuständigen Behörde auf ihr Ersuchen vorzulegen. Die Bundesregierung regelt durch Rechtsverordnung mit Zustimmung des Bundesrates nach Anhörung der Kommission die Einzelheiten über Form und Inhalt der Aufzeichnungen und die Aufbewahrungs- und Vorlagepflichten.</w:t>
      </w:r>
    </w:p>
    <w:p>
      <w:r>
        <w:t xml:space="preserve">(4) Wer gentechnische Arbeiten oder Freisetzungen durchführt, ist verpflichtet, Projektleiter sowie Beauftragte oder Ausschüsse für Biologische Sicherheit zu bestellen.</w:t>
      </w:r>
    </w:p>
    <w:p>
      <w:r>
        <w:rPr>
          <w:color w:val="555555"/>
          <w:sz w:val="17"/>
        </w:rPr>
        <w:t xml:space="preserve">Zitiervorschlag: § 6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