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GenTG — Anwendbarkeit der Vorschriften für die anderen Vertragsstaaten des Abkommens über den Europäischen Wirtschaftsraum</w:t>
      </w:r>
    </w:p>
    <w:p>
      <w:r>
        <w:rPr>
          <w:color w:val="555555"/>
          <w:sz w:val="18"/>
        </w:rPr>
        <w:t xml:space="preserve">Gentechnikgesetz</w:t>
      </w:r>
    </w:p>
    <w:p>
      <w:r>
        <w:rPr>
          <w:color w:val="555555"/>
          <w:sz w:val="18"/>
        </w:rPr>
        <w:t xml:space="preserve">Stand: 10.06.2019 (konsolidierte Textfassung, kein amtliches Inkrafttretensdatum)</w:t>
      </w:r>
    </w:p>
    <w:p>
      <w:r>
        <w:t xml:space="preserve">Bei Inkrafttreten des Abkommens über den Europäischen Wirtschaftsraum gelten die Vorschriften, die eine Beteiligung der Mitgliedstaaten der Europäischen Union vorsehen, auch für die Beteiligung der anderen Vertragsstaaten des Abkommens über den Europäischen Wirtschaftsraum ab dem 1. Januar 1995.</w:t>
      </w:r>
    </w:p>
    <w:p>
      <w:r>
        <w:rPr>
          <w:color w:val="555555"/>
          <w:sz w:val="17"/>
        </w:rPr>
        <w:t xml:space="preserve">Zitiervorschlag: § 42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