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GenTG — Kommission für die Biologische Sicherheit</w:t>
      </w:r>
    </w:p>
    <w:p>
      <w:r>
        <w:rPr>
          <w:color w:val="555555"/>
          <w:sz w:val="18"/>
        </w:rPr>
        <w:t xml:space="preserve">Gentechnikgesetz</w:t>
      </w:r>
    </w:p>
    <w:p>
      <w:r>
        <w:rPr>
          <w:color w:val="555555"/>
          <w:sz w:val="18"/>
        </w:rPr>
        <w:t xml:space="preserve">Stand: 01.10.2021 (konsolidierte Textfassung, kein amtliches Inkrafttretensdatum)</w:t>
      </w:r>
    </w:p>
    <w:p>
      <w:r>
        <w:t xml:space="preserve">(1) Unter der Bezeichnung „Zentrale Kommission für die Biologische Sicherheit“ (Kommission) wird bei der zuständigen Bundesoberbehörde eine Sachverständigenkommission eingerichtet. Die Kommission setzt sich zusammen aus:</w:t>
      </w:r>
    </w:p>
    <w:p>
      <w:pPr>
        <w:ind w:left="420"/>
      </w:pPr>
      <w:r>
        <w:t xml:space="preserve">1. zwölf Sachverständigen, die über besondere und möglichst auch internationale Erfahrungen in den Bereichen der Mikrobiologie, Zellbiologie, Virologie, Genetik, Pflanzenzucht, Hygiene, Ökologie, Toxikologie und Sicherheitstechnik verfügen; von diesen müssen mindestens sieben auf dem Gebiet der Neukombination von Nukleinsäuren arbeiten; jeder der genannten Bereiche muss durch mindestens einen Sachverständigen, der Bereich der Ökologie durch mindestens zwei Sachverständige vertreten sein;</w:t>
      </w:r>
    </w:p>
    <w:p>
      <w:pPr>
        <w:ind w:left="420"/>
      </w:pPr>
      <w:r>
        <w:t xml:space="preserve">2. je einer sachkundigen Person aus den Bereichen der Gewerkschaften, des Arbeitsschutzes, der Wirtschaft, der Landwirtschaft, des Umweltschutzes, des Naturschutzes, des Verbraucherschutzes und der forschungsfördernden Organisationen.</w:t>
      </w:r>
    </w:p>
    <w:p>
      <w:r>
        <w:t xml:space="preserve">Für jedes Mitglied der Kommission ist aus demselben Bereich ein stellvertretendes Mitglied zu bestellen. Soweit es zur sachgerechten Erledigung der Aufgaben erforderlich ist, können nach Anhörung der Kommission in einzelnen Bereichen bis zu zwei Sachverständige als zusätzliche stellvertretende Mitglieder berufen werden.</w:t>
      </w:r>
    </w:p>
    <w:p>
      <w:r>
        <w:t xml:space="preserve">(2) Die Mitglieder der Kommission werden vom Bundesministerium für Ernährung und Landwirtschaft im Einvernehmen mit den Bundesministerien für Bildung und Forschung, für Wirtschaft und Energie, für Arbeit und Soziales, für Gesundheit sowie für Umwelt, Naturschutz und nukleare Sicherheit für die Dauer von drei Jahren berufen. Wiederberufung ist zulässig.</w:t>
      </w:r>
    </w:p>
    <w:p>
      <w:r>
        <w:t xml:space="preserve">(3) Die Mitglieder und die stellvertretenden Mitglieder sind in ihrer Tätigkeit unabhängig und nicht an Weisungen gebunden. Sie sind zur Verschwiegenheit verpflichtet.</w:t>
      </w:r>
    </w:p>
    <w:p>
      <w:r>
        <w:t xml:space="preserve">(4) Die Kommission berichtet jährlich der Öffentlichkeit in allgemeiner Weise über ihre Arbeit.</w:t>
      </w:r>
    </w:p>
    <w:p>
      <w:r>
        <w:t xml:space="preserve">(5) Die Bundesregierung wird ermächtigt, durch Rechtsverordnung mit Zustimmung des Bundesrates das Nähere über die Berufung und das Verfahren der Kommission, die Heranziehung externer Sachverständiger sowie die Zusammenarbeit der Kommission mit den für den Vollzug des Gesetzes zuständigen Behörden zu regeln. Durch Rechtsverordnung mit Zustimmung des Bundesrates kann auch bestimmt werden, daß die Berufungsentscheidung gemäß Absatz 2 im Benehmen mit den Landesregierungen zu treffen ist.</w:t>
      </w:r>
    </w:p>
    <w:p>
      <w:r>
        <w:t xml:space="preserve">(6) Die Länder haben die bei der Kommission im Rahmen des Anzeige-, Anmelde- und Genehmigungsverfahrens entstehenden Aufwendungen zu erstatten. Die Aufwendungen werden im Einzelfall festgesetzt; dabei können nach dem durchschnittlichen Personal- und Sachaufwand ermittelte feste Sätze oder Rahmensätze zugrunde gelegt werden.</w:t>
      </w:r>
    </w:p>
    <w:p>
      <w:r>
        <w:rPr>
          <w:color w:val="555555"/>
          <w:sz w:val="17"/>
        </w:rPr>
        <w:t xml:space="preserve">Zitiervorschlag: § 4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https://recht.nulegal.eu/gesetze/GenTG/4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