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GenTG — Deckungsvorsorge</w:t>
      </w:r>
    </w:p>
    <w:p>
      <w:r>
        <w:rPr>
          <w:color w:val="555555"/>
          <w:sz w:val="18"/>
        </w:rPr>
        <w:t xml:space="preserve">Gentechnikgesetz</w:t>
      </w:r>
    </w:p>
    <w:p>
      <w:r>
        <w:rPr>
          <w:color w:val="555555"/>
          <w:sz w:val="18"/>
        </w:rPr>
        <w:t xml:space="preserve">Stand: 17.07.2020 (konsolidierte Textfassung, kein amtliches Inkrafttretensdatum)</w:t>
      </w:r>
    </w:p>
    <w:p>
      <w:r>
        <w:t xml:space="preserve">(1) Die Bundesregierung bestimmt in einer Rechtsverordnung mit Zustimmung des Bundesrates, dass derjenige, der eine gentechnische Anlage betreibt, in der gentechnische Arbeiten der Sicherheitsstufen 2 bis 4 durchgeführt werden sollen, oder der Freisetzungen vornimmt, verpflichtet ist, zur Deckung der Schäden Vorsorge zu treffen, die durch Eigenschaften eines Organismus, die auf gentechnischen Arbeiten beruhen, verursacht werden (Deckungsvorsorge). Der Umfang der Deckungsvorsorge für eine gentechnische Anlage hat Art und Umfang der in der Anlage durchgeführten Arbeiten zu berücksichtigen; dies gilt für Freisetzungen entsprechend. Die Rechtsverordnung muss auch nähere Vorschriften über die Befugnisse bei der Überwachung der Deckungsvorsorge enthalten. Nach Erlass der Rechtsverordnung gemäß Satz 1 kann das Bundesministerium der Justiz und für Verbraucherschutz durch Rechtsverordnung im Einvernehmen mit dem Bundesministerium für Wirtschaft und Energie, dem Bundesministerium für Ernährung und Landwirtschaft, dem Bundesministerium für Bildung und Forschung, dem Bundesministerium für Umwelt, Naturschutz und nukleare Sicherheit sowie dem Bundesministerium für Gesundheit die Höhe der Deckungsvorsorge unter Beachtung der auf dem Versicherungsmarkt angebotenen Höchstbeträge neu festsetzen.</w:t>
      </w:r>
    </w:p>
    <w:p>
      <w:r>
        <w:t xml:space="preserve">(2) Die Deckungsvorsorge kann insbesondere erbracht werden</w:t>
      </w:r>
    </w:p>
    <w:p>
      <w:pPr>
        <w:ind w:left="420"/>
      </w:pPr>
      <w:r>
        <w:t xml:space="preserve">1. durch eine Haftpflichtversicherung bei einem im Geltungsbereich dieses Gesetzes zum Geschäftsbetrieb befugten Versicherungsunternehmen oder</w:t>
      </w:r>
    </w:p>
    <w:p>
      <w:pPr>
        <w:ind w:left="420"/>
      </w:pPr>
      <w:r>
        <w:t xml:space="preserve">2. durch eine Freistellungs- oder Gewährleistungsverpflichtung des Bundes oder eines Landes.</w:t>
      </w:r>
    </w:p>
    <w:p>
      <w:r>
        <w:t xml:space="preserve">In der Rechtsverordnung nach Absatz 1 können auch andere Arten der Deckungsvorsorge zugelassen werden, insbesondere Freistellungs- oder Gewährleistungsverpflichtungen von Kreditinstituten, sofern sie vergleichbare Sicherheiten wie eine Deckungsvorsorge nach Satz 1 bieten.</w:t>
      </w:r>
    </w:p>
    <w:p>
      <w:r>
        <w:t xml:space="preserve">(3) Von der Pflicht zur Deckungsvorsorge sind befreit</w:t>
      </w:r>
    </w:p>
    <w:p>
      <w:pPr>
        <w:ind w:left="420"/>
      </w:pPr>
      <w:r>
        <w:t xml:space="preserve">1. die Bundesrepublik Deutschland,</w:t>
      </w:r>
    </w:p>
    <w:p>
      <w:pPr>
        <w:ind w:left="420"/>
      </w:pPr>
      <w:r>
        <w:t xml:space="preserve">2. die Länder und</w:t>
      </w:r>
    </w:p>
    <w:p>
      <w:pPr>
        <w:ind w:left="420"/>
      </w:pPr>
      <w:r>
        <w:t xml:space="preserve">3. juristische Personen des öffentlichen Rechts.</w:t>
      </w:r>
    </w:p>
    <w:p>
      <w:r>
        <w:rPr>
          <w:color w:val="555555"/>
          <w:sz w:val="17"/>
        </w:rPr>
        <w:t xml:space="preserve">Zitiervorschlag: § 36 GenTG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