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 GenTG — Ursachenvermutung</w:t>
      </w:r>
    </w:p>
    <w:p>
      <w:r>
        <w:rPr>
          <w:color w:val="555555"/>
          <w:sz w:val="18"/>
        </w:rPr>
        <w:t xml:space="preserve">Gentechnikgesetz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der Schaden durch gentechnisch veränderte Organismen verursacht worden, so wird vermutet, daß er durch Eigenschaften dieser Organismen verursacht wurde, die auf gentechnischen Arbeiten beruhen.</w:t>
      </w:r>
    </w:p>
    <w:p>
      <w:r>
        <w:t xml:space="preserve">(2) Die Vermutung ist entkräftet, wenn es wahrscheinlich ist, daß der Schaden auf anderen Eigenschaften dieser Organismen beruht.</w:t>
      </w:r>
    </w:p>
    <w:p>
      <w:r>
        <w:rPr>
          <w:color w:val="555555"/>
          <w:sz w:val="17"/>
        </w:rPr>
        <w:t xml:space="preserve">Zitiervorschlag: § 34 GenTG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https://recht.nulegal.eu/gesetze/GenTG/34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