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GenTG — Erlaß von Rechtsverordnungen und Verwaltungsvorschriften</w:t>
      </w:r>
    </w:p>
    <w:p>
      <w:r>
        <w:rPr>
          <w:color w:val="555555"/>
          <w:sz w:val="18"/>
        </w:rPr>
        <w:t xml:space="preserve">Gentechnikgesetz</w:t>
      </w:r>
    </w:p>
    <w:p>
      <w:r>
        <w:rPr>
          <w:color w:val="555555"/>
          <w:sz w:val="18"/>
        </w:rPr>
        <w:t xml:space="preserve">Stand: 10.06.2019 (konsolidierte Textfassung, kein amtliches Inkrafttretensdatum)</w:t>
      </w:r>
    </w:p>
    <w:p>
      <w:r>
        <w:t xml:space="preserve">(1) Die Bundesregierung bestimmt nach Anhörung der Kommission durch Rechtsverordnung mit Zustimmung des Bundesrates zur Erreichung der in § 1 Nr. 1 genannten Zwecke die Verantwortlichkeit sowie die erforderliche Sachkunde des Projektleiters, insbesondere im Hinblick auf die Notwendigkeit und den Umfang von nachzuweisenden Kenntnissen in klassischer und molekularer Genetik, von praktischen Erfahrungen im Umgang mit Mikroorganismen und die erforderlichen Kenntnisse einschließlich der arbeitsschutzrechtlichen Bestimmungen über das Arbeiten in einer gentechnischen Anlage.</w:t>
      </w:r>
    </w:p>
    <w:p>
      <w:r>
        <w:t xml:space="preserve">(2) Die Bundesregierung wird ermächtigt, nach Anhörung der Kommission durch Rechtsverordnung mit Zustimmung des Bundesrates zur Erreichung der in § 1 Nr. 1 genannten Zwecke zu bestimmen,</w:t>
      </w:r>
    </w:p>
    <w:p>
      <w:pPr>
        <w:ind w:left="420"/>
      </w:pPr>
      <w:r>
        <w:t xml:space="preserve">1. wie die Arbeitsstätte, die Betriebsanlagen und die technischen Arbeitsmittel bei den einzelnen Sicherheitsstufen beschaffen, eingerichtet und betrieben werden müssen, damit sie den gesicherten sicherheitstechnischen, arbeitsmedizinischen, hygienischen und sonstigen arbeitswissenschaftlichen Erkenntnissen entsprechen, die zum Schutz der Beschäftigten zu beachten und zur menschengerechten Gestaltung der Arbeit erforderlich sind;</w:t>
      </w:r>
    </w:p>
    <w:p>
      <w:pPr>
        <w:ind w:left="420"/>
      </w:pPr>
      <w:r>
        <w:t xml:space="preserve">2. die erforderlichen betrieblichen Maßnahmen, insbesondere</w:t>
      </w:r>
    </w:p>
    <w:p>
      <w:pPr>
        <w:ind w:left="780"/>
      </w:pPr>
      <w:r>
        <w:t xml:space="preserve">a) wie das Arbeitsverfahren gestaltet sein muß, damit die Beschäftigten durch gentechnische Arbeiten oder eine Freisetzung nicht gefährdet werden,</w:t>
      </w:r>
    </w:p>
    <w:p>
      <w:pPr>
        <w:ind w:left="780"/>
      </w:pPr>
      <w:r>
        <w:t xml:space="preserve">b) wie die Arbeitsbereiche überwacht werden müssen, um eine Kontamination durch gentechnisch veränderte Organismen festzustellen,</w:t>
      </w:r>
    </w:p>
    <w:p>
      <w:pPr>
        <w:ind w:left="780"/>
      </w:pPr>
      <w:r>
        <w:t xml:space="preserve">c) wie gentechnisch veränderte Organismen innerbetrieblich aufbewahrt werden müssen und auf welche Gefahren hingewiesen werden muß, damit die Beschäftigten durch eine ungeeignete Aufbewahrung nicht gefährdet und durch Gefahrenhinweise über die von diesen Organismen ausgehenden Gefahren unterrichtet werden,</w:t>
      </w:r>
    </w:p>
    <w:p>
      <w:pPr>
        <w:ind w:left="780"/>
      </w:pPr>
      <w:r>
        <w:t xml:space="preserve">d) welche Vorkehrungen getroffen werden müssen, damit gentechnisch veränderte Organismen nicht in die Hände Unbefugter gelangen oder sonst abhanden kommen,</w:t>
      </w:r>
    </w:p>
    <w:p>
      <w:pPr>
        <w:ind w:left="780"/>
      </w:pPr>
      <w:r>
        <w:t xml:space="preserve">e) welche persönlichen Schutzausrüstungen zur Verfügung gestellt und von den Beschäftigten bestimmungsgemäß benutzt werden müssen,</w:t>
      </w:r>
    </w:p>
    <w:p>
      <w:pPr>
        <w:ind w:left="780"/>
      </w:pPr>
      <w:r>
        <w:t xml:space="preserve">f) dass die Zahl der Beschäftigten, die mit gentechnisch veränderten Organismen umgehen, beschränkt und daß die Dauer einer solchen Beschäftigung begrenzt werden kann,</w:t>
      </w:r>
    </w:p>
    <w:p>
      <w:pPr>
        <w:ind w:left="780"/>
      </w:pPr>
      <w:r>
        <w:t xml:space="preserve">g) wie sich die Beschäftigten verhalten müssen, damit sie sich selbst und andere nicht gefährden, und welche Maßnahmen zu treffen sind,</w:t>
      </w:r>
    </w:p>
    <w:p>
      <w:pPr>
        <w:ind w:left="780"/>
      </w:pPr>
      <w:r>
        <w:t xml:space="preserve">h) unter welchen Umständen Zugangsbeschränkungen zum Schutz der Beschäftigten vorgesehen werden müssen;</w:t>
      </w:r>
    </w:p>
    <w:p>
      <w:pPr>
        <w:ind w:left="420"/>
      </w:pPr>
      <w:r>
        <w:t xml:space="preserve">3. dass und wie viele Beauftragte für die Biologische Sicherheit der Betreiber zu bestellen hat, die die Erfüllung der Aufgaben des Projektleiters überprüfen und die den Betreiber und die verantwortlichen Personen in allen Fragen der biologischen Sicherheit zu beraten haben, wie diese Aufgaben im einzelnen wahrzunehmen sind, welche Sachkunde für die Biologische Sicherheit nachzuweisen ist und auf welche Weise der Beauftragte oder die Beauftragten für die Biologische Sicherheit unter Beteiligung des Betriebs- oder Personalrates zu bestellen sind;</w:t>
      </w:r>
    </w:p>
    <w:p>
      <w:pPr>
        <w:ind w:left="420"/>
      </w:pPr>
      <w:r>
        <w:t xml:space="preserve">4. welche Kenntnisse und Fähigkeiten die mit gentechnischen Arbeiten oder einer Freisetzung Beschäftigten haben müssen und welche Nachweise hierüber zu erbringen sind;</w:t>
      </w:r>
    </w:p>
    <w:p>
      <w:pPr>
        <w:ind w:left="420"/>
      </w:pPr>
      <w:r>
        <w:t xml:space="preserve">5. wie und in welchen Zeitabständen die Beschäftigten über die Gefahren und Maßnahmen zu ihrer Abwendung zu unterweisen sind und wie den Beschäftigten der Inhalt der im Betrieb anzuwendenden Vorschriften in einer tätigkeitsbezogenen Betriebsanweisung unter Berücksichtigung von Sicherheitsratschlägen zur Kenntnis zu bringen ist;</w:t>
      </w:r>
    </w:p>
    <w:p>
      <w:pPr>
        <w:ind w:left="420"/>
      </w:pPr>
      <w:r>
        <w:t xml:space="preserve">6. welche Vorkehrungen zur Verhinderung von Betriebsunfällen und Betriebsstörungen sowie zur Begrenzung ihrer Auswirkungen für die Beschäftigten und welche Maßnahmen zur Organisation der Ersten Hilfe zu treffen sind;</w:t>
      </w:r>
    </w:p>
    <w:p>
      <w:pPr>
        <w:ind w:left="420"/>
      </w:pPr>
      <w:r>
        <w:t xml:space="preserve">7. dass und welche verantwortlichen Aufsichtspersonen zur Aufsicht über gentechnische Arbeiten und Freisetzungen sowie über andere Arbeiten im Gefahrenbereich bestellt und welche Befugnisse ihnen übertragen werden müssen, damit die Arbeitsschutzaufgaben erfüllt werden können;</w:t>
      </w:r>
    </w:p>
    <w:p>
      <w:pPr>
        <w:ind w:left="420"/>
      </w:pPr>
      <w:r>
        <w:t xml:space="preserve">8. dass im Hinblick auf den Schutz der Beschäftigten vom Betreiber eine Gefahrenbeurteilung vorzunehmen und ein Plan zur Gefahrenabwehr aufzustellen sind, welche Unterlagen hierfür zu erstellen sind, und daß diese Unterlagen zur Überprüfung der Gefahrenbeurteilung sowie des Gefahrenabwehrplanes zur Einsichtnahme durch die zuständige Behörde bereitgehalten werden müssen;</w:t>
      </w:r>
    </w:p>
    <w:p>
      <w:pPr>
        <w:ind w:left="420"/>
      </w:pPr>
      <w:r>
        <w:t xml:space="preserve">9. dass die Beschäftigten arbeitsmedizinisch zu betreuen und hierüber Aufzeichnungen zu führen sind sowie zu diesem Zweck</w:t>
      </w:r>
    </w:p>
    <w:p>
      <w:pPr>
        <w:ind w:left="780"/>
      </w:pPr>
      <w:r>
        <w:t xml:space="preserve">a) der Betreiber verpflichtet werden kann, die mit gentechnischen Arbeiten oder einer Freisetzung Beschäftigten ärztlich untersuchen zu lassen,</w:t>
      </w:r>
    </w:p>
    <w:p>
      <w:pPr>
        <w:ind w:left="780"/>
      </w:pPr>
      <w:r>
        <w:t xml:space="preserve">b) der Arzt, der mit einer Vorsorgeuntersuchung beauftragt ist, im Zusammenhang mit dem Untersuchungsbefund bestimmte Pflichten zu erfüllen hat, insbesondere hinsichtlich des Inhalts einer von ihm auszustellenden Bescheinigung und der Unterrichtung und Beratung über das Ergebnis der Untersuchung,</w:t>
      </w:r>
    </w:p>
    <w:p>
      <w:pPr>
        <w:ind w:left="780"/>
      </w:pPr>
      <w:r>
        <w:t xml:space="preserve">c) die zuständige Behörde entscheidet, wenn Feststellungen des Arztes für unzutreffend gehalten werden,</w:t>
      </w:r>
    </w:p>
    <w:p>
      <w:pPr>
        <w:ind w:left="780"/>
      </w:pPr>
      <w:r>
        <w:t xml:space="preserve">d) die in die Aufzeichnung aufzunehmenden Daten den Trägern der gesetzlichen Unfallversicherung oder einer von ihnen beauftragten Stelle zum Zweck der Ermittlung arbeitsbedingter Gesundheitsgefahren oder Berufskrankheiten übermittelt werden;</w:t>
      </w:r>
    </w:p>
    <w:p>
      <w:pPr>
        <w:ind w:left="420"/>
      </w:pPr>
      <w:r>
        <w:t xml:space="preserve">9a. bei welchen Tätigkeiten Beschäftigten nachgehende Untersuchungen ermöglicht werden müssen;</w:t>
      </w:r>
    </w:p>
    <w:p>
      <w:pPr>
        <w:ind w:left="420"/>
      </w:pPr>
      <w:r>
        <w:t xml:space="preserve">10. dass der Arbeitgeber dem Betriebs- oder Personalrat Vorgänge mitzuteilen hat, die dieser erfahren muß, um seine Aufgaben erfüllen zu können;</w:t>
      </w:r>
    </w:p>
    <w:p>
      <w:pPr>
        <w:ind w:left="420"/>
      </w:pPr>
      <w:r>
        <w:t xml:space="preserve">11. dass die zuständigen Behörden ermächtigt werden, zur Durchführung von Rechtsverordnungen bestimmte Anordnungen im Einzelfall auch gegen Aufsichtspersonen und sonstige Beschäftigte insbesondere bei Gefahr im Verzug zu erlassen;</w:t>
      </w:r>
    </w:p>
    <w:p>
      <w:pPr>
        <w:ind w:left="420"/>
      </w:pPr>
      <w:r>
        <w:t xml:space="preserve">12. dass bei der Beendigung einer gentechnischen Arbeit oder einer Freisetzung bestimmte Vorkehrungen zu treffen sind;</w:t>
      </w:r>
    </w:p>
    <w:p>
      <w:pPr>
        <w:ind w:left="420"/>
      </w:pPr>
      <w:r>
        <w:t xml:space="preserve">13. dass die Beförderung von gentechnisch veränderten Organismen von der Einhaltung bestimmter Vorsichtsmaßregeln abhängig zu machen ist;</w:t>
      </w:r>
    </w:p>
    <w:p>
      <w:pPr>
        <w:ind w:left="420"/>
      </w:pPr>
      <w:r>
        <w:t xml:space="preserve">14. dass und wie zur Ordnung des Verkehrs und des Umgangs mit Produkten, die gentechnisch veränderte Organismen enthalten oder aus solchen bestehen, die Produkte zu verpacken und zu kennzeichnen sind, insbesondere welche Angaben über die gentechnischen Veränderungen und über die vertretbaren schädlichen Auswirkungen im Sinne des § 16 Abs. 2 zu machen sind, soweit dies zum Schutz des Anwenders erforderlich ist;</w:t>
      </w:r>
    </w:p>
    <w:p>
      <w:pPr>
        <w:ind w:left="420"/>
      </w:pPr>
      <w:r>
        <w:t xml:space="preserve">15. welchen Inhalt und welche Form die Anzeige-, Anmelde- und Antragsunterlagen nach § 10 Abs. 2 und 3, § 12 Abs. 2 und 2a und § 15 haben müssen, insbesondere an welchen Kriterien die Risikobewertung auszurichten ist und welche Kriterien bei der Erstellung des Beobachtungsplans zu beachten sind, sowie die Einzelheiten des Anzeige-, Anmelde- und Genehmigungsverfahrens;</w:t>
      </w:r>
    </w:p>
    <w:p>
      <w:pPr>
        <w:ind w:left="420"/>
      </w:pPr>
      <w:r>
        <w:t xml:space="preserve">16. dass für den Fall eines Unfalls in einer gentechnischen Anlage</w:t>
      </w:r>
    </w:p>
    <w:p>
      <w:pPr>
        <w:ind w:left="780"/>
      </w:pPr>
      <w:r>
        <w:t xml:space="preserve">a) die zuständige Behörde auf der Grundlage von vom Betreiber zu liefernden Unterlagen außerbetriebliche Notfallpläne zu erstellen, ihre Erstellung und Durchführung mit den zuständigen Behörden der Mitgliedstaaten der Europäischen Union oder den anderen Vertragsstaaten des Abkommens über den Europäischen Wirtschaftsraum, die von einem Unfall betroffen werden können, abzustimmen sowie die Öffentlichkeit über Sicherheitsmaßnahmen zu unterrichten,</w:t>
      </w:r>
    </w:p>
    <w:p>
      <w:pPr>
        <w:ind w:left="780"/>
      </w:pPr>
      <w:r>
        <w:t xml:space="preserve">b) der Betreiber die Umstände des Unfalls sowie die von ihm getroffenen Maßnahmen der zuständigen Behörde zu melden,</w:t>
      </w:r>
    </w:p>
    <w:p>
      <w:pPr>
        <w:ind w:left="780"/>
      </w:pPr>
      <w:r>
        <w:t xml:space="preserve">c) die zuständige Behörde diese Angaben der zuständigen Bundesoberbehörde zur Weiterleitung an die Europäische Kommission zu melden, die von den Mitgliedstaaten der Europäischen Union und den anderen Vertragsstaaten des Abkommens über den Europäischen Wirtschaftsraum benannten Behörden zu unterrichten, soweit diese Staaten von dem Unfall möglicherweise betroffen sind, und alle Notfallmaßnahmen und sonstigen erforderlichen Maßnahmen zu treffen hat.</w:t>
      </w:r>
    </w:p>
    <w:p>
      <w:r>
        <w:t xml:space="preserve">(3) (weggefallen)</w:t>
      </w:r>
    </w:p>
    <w:p>
      <w:r>
        <w:t xml:space="preserve">(4) Wegen der Anforderungen nach den Absätzen 1 und 2 kann auf jedermann zugängliche Bekanntmachungen sachverständiger Stellen verwiesen werden; hierbei ist</w:t>
      </w:r>
    </w:p>
    <w:p>
      <w:pPr>
        <w:ind w:left="420"/>
      </w:pPr>
      <w:r>
        <w:t xml:space="preserve">1. in der Rechtsverordnung das Datum der Bekanntmachung anzugeben und die Bezugsquelle genau zu bezeichnen,</w:t>
      </w:r>
    </w:p>
    <w:p>
      <w:pPr>
        <w:ind w:left="420"/>
      </w:pPr>
      <w:r>
        <w:t xml:space="preserve">2. die Bekanntmachung bei der zuständigen Bundesoberbehörde archivmäßig gesichert niederzulegen und in der Rechtsverordnung darauf hinzuweisen.</w:t>
      </w:r>
    </w:p>
    <w:p>
      <w:r>
        <w:t xml:space="preserve">(5) Die Bundesregierung kann nach Anhörung der Kommission mit Zustimmung des Bundesrates zur Durchführung dieses Gesetzes und der auf Grund dieses Gesetzes erlassenen Rechtsverordnungen allgemeine Verwaltungsvorschriften erlassen.</w:t>
      </w:r>
    </w:p>
    <w:p>
      <w:r>
        <w:rPr>
          <w:color w:val="555555"/>
          <w:sz w:val="17"/>
        </w:rPr>
        <w:t xml:space="preserve">Zitiervorschlag: § 30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