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GenTG — Unterrichtung der Öffentlichkeit</w:t>
      </w:r>
    </w:p>
    <w:p>
      <w:r>
        <w:rPr>
          <w:color w:val="555555"/>
          <w:sz w:val="18"/>
        </w:rPr>
        <w:t xml:space="preserve">Gentechnikgesetz</w:t>
      </w:r>
    </w:p>
    <w:p>
      <w:r>
        <w:rPr>
          <w:color w:val="555555"/>
          <w:sz w:val="18"/>
        </w:rPr>
        <w:t xml:space="preserve">Stand: 02.12.2019 (konsolidierte Textfassung, kein amtliches Inkrafttretensdatum)</w:t>
      </w:r>
    </w:p>
    <w:p>
      <w:r>
        <w:t xml:space="preserve">(1) Die zuständige Behörde soll die Öffentlichkeit über Anordnungen nach § 26 unterrichten, sofern diese unanfechtbar geworden sind oder deren sofortige Vollziehung angeordnet worden ist, einschließlich der angeordneten Vorsichtsmaßnahmen. Personenbezogene Daten dürfen nur veröffentlicht werden, soweit dies zur Gefahrenabwehr erforderlich ist.</w:t>
      </w:r>
    </w:p>
    <w:p>
      <w:r>
        <w:t xml:space="preserve">(2) Die zuständige Behörde unterrichtet die Öffentlichkeit über</w:t>
      </w:r>
    </w:p>
    <w:p>
      <w:pPr>
        <w:ind w:left="420"/>
      </w:pPr>
      <w:r>
        <w:t xml:space="preserve">1. den hinreichenden Verdacht einer Gefahr für die in § 1 Nr. 1 genannten Rechtsgüter einschließlich der zu treffenden Vorsichtsmaßnahmen,</w:t>
      </w:r>
    </w:p>
    <w:p>
      <w:pPr>
        <w:ind w:left="420"/>
      </w:pPr>
      <w:r>
        <w:t xml:space="preserve">2. die Ergebnisse der Überwachung des Inverkehrbringens in allgemeiner Weise.</w:t>
      </w:r>
    </w:p>
    <w:p>
      <w:r>
        <w:t xml:space="preserve">Personenbezogene Daten dürfen in den Fällen des Satzes 1 nur veröffentlicht werden, soweit die betroffene Person eingewilligt hat oder das schutzwürdige Informationsinteresse der Öffentlichkeit das schutzwürdige Interesse der betroffenen Person an dem Ausschluss der Veröffentlichung überwiegt. Vor der Entscheidung über die Veröffentlichung ist die betroffene Person anzuhören.</w:t>
      </w:r>
    </w:p>
    <w:p>
      <w:r>
        <w:t xml:space="preserve">(3) Informationen nach Absatz 2 dürfen nicht veröffentlicht werden,</w:t>
      </w:r>
    </w:p>
    <w:p>
      <w:pPr>
        <w:ind w:left="420"/>
      </w:pPr>
      <w:r>
        <w:t xml:space="preserve">1. soweit das Bekanntwerden der Informationen die Vertraulichkeit der Beratung von Behörden berührt oder eine erhebliche Gefahr für die öffentliche Sicherheit verursachen kann,</w:t>
      </w:r>
    </w:p>
    <w:p>
      <w:pPr>
        <w:ind w:left="420"/>
      </w:pPr>
      <w:r>
        <w:t xml:space="preserve">2. während der Dauer eines Gerichtsverfahrens, eines strafrechtlichen Ermittlungsverfahrens, eines Disziplinarverfahrens, eines ordnungswidrigkeitsrechtlichen Verfahrens hinsichtlich der Daten, die Gegenstand des Verfahrens sind,</w:t>
      </w:r>
    </w:p>
    <w:p>
      <w:pPr>
        <w:ind w:left="420"/>
      </w:pPr>
      <w:r>
        <w:t xml:space="preserve">3. soweit der Schutz geistigen Eigentums, insbesondere Urheberrechte, dem Informationsanspruch entgegenstehen oder</w:t>
      </w:r>
    </w:p>
    <w:p>
      <w:pPr>
        <w:ind w:left="420"/>
      </w:pPr>
      <w:r>
        <w:t xml:space="preserve">4. soweit durch die Informationen Betriebs- oder Geschäftsgeheimnisse oder wettbewerbsrelevante Informationen, die dem Wesen nach Betriebsgeheimnissen gleichkommen, offenbart würden, es sei denn, bestimmte Informationen müssen unter Berücksichtigung der Gesamtumstände veröffentlicht werden, um den Schutz der Sicherheit und Gesundheit der Bevölkerung zu gewährleisten; dabei ist eine Abwägung entsprechend Absatz 2 Satz 2 vorzunehmen.</w:t>
      </w:r>
    </w:p>
    <w:p>
      <w:r>
        <w:t xml:space="preserve">Vor der Entscheidung über die Veröffentlichung sind in den Fällen des Satzes 1 Nr. 3 oder 4 die betroffenen Personen anzuhören. Soweit veröffentlichte Informationen als Betriebs- oder Geschäftsgeheimnis gekennzeichnet sind, hat die zuständige Behörde im Zweifel von der Betroffenheit des Kennzeichnenden auszugehen.</w:t>
      </w:r>
    </w:p>
    <w:p>
      <w:r>
        <w:t xml:space="preserve">(4) Stellen sich die von der Behörde an die Öffentlichkeit gegebenen Informationen im Nachhinein als falsch oder die zu Grunde liegenden Umstände als unrichtig wiedergegeben heraus, so informiert die Behörde die Öffentlichkeit hierüber in der gleichen Art und Weise, in der sie die betreffenden Informationen zuvor bekannt gegeben hat.</w:t>
      </w:r>
    </w:p>
    <w:p>
      <w:r>
        <w:rPr>
          <w:color w:val="555555"/>
          <w:sz w:val="17"/>
        </w:rPr>
        <w:t xml:space="preserve">Zitiervorschlag: § 28a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