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GenTG — Einstweilige Einstellung</w:t>
      </w:r>
    </w:p>
    <w:p>
      <w:r>
        <w:rPr>
          <w:color w:val="555555"/>
          <w:sz w:val="18"/>
        </w:rPr>
        <w:t xml:space="preserve">Gentechnikgesetz</w:t>
      </w:r>
    </w:p>
    <w:p>
      <w:r>
        <w:rPr>
          <w:color w:val="555555"/>
          <w:sz w:val="18"/>
        </w:rPr>
        <w:t xml:space="preserve">Stand: 10.06.2019 (konsolidierte Textfassung, kein amtliches Inkrafttretensdatum)</w:t>
      </w:r>
    </w:p>
    <w:p>
      <w:r>
        <w:t xml:space="preserve">(1) Sind die Voraussetzungen für die Fortführung des Betriebs der gentechnischen Anlage, der gentechnischen Arbeit oder der Freisetzung nachträglich entfallen, so kann anstelle einer Rücknahme oder eines Widerrufs der Genehmigung nach den Vorschriften der Verwaltungsverfahrensgesetze die einstweilige Einstellung der Tätigkeit angeordnet werden, bis der Betreiber nachweist, daß die Voraussetzungen wieder vorliegen.</w:t>
      </w:r>
    </w:p>
    <w:p>
      <w:r>
        <w:t xml:space="preserve">(2) Besteht nach Erteilung einer Genehmigung des Inverkehrbringens, auch einer nach § 14 Abs. 5 gleichgestellten, auf Grund neuer oder zusätzlicher Informationen, die Auswirkungen auf die Risikobewertung haben, oder auf Grund einer Neubewertung der vorliegenden Informationen auf der Grundlage neuer oder zusätzlicher wissenschaftlicher Erkenntnisse ein berechtigter Grund zu der Annahme, dass der gentechnisch veränderte Organismus eine Gefahr für die menschliche Gesundheit oder die Umwelt darstellt, so kann die zuständige Bundesoberbehörde bis zur Entscheidung oder bis zu einem Beschluss der Europäischen Gemeinschaften oder der Europäischen Union nach Artikel 23 in Verbindung mit Artikel 30 Abs. 2 der Richtlinie 2001/18/EG das Ruhen der Genehmigung ganz oder teilweise anordnen.</w:t>
      </w:r>
    </w:p>
    <w:p>
      <w:r>
        <w:rPr>
          <w:color w:val="555555"/>
          <w:sz w:val="17"/>
        </w:rPr>
        <w:t xml:space="preserve">Zitiervorschlag: § 20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