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GenTG — Nebenbestimmungen, nachträgliche Auflagen</w:t>
      </w:r>
    </w:p>
    <w:p>
      <w:r>
        <w:rPr>
          <w:color w:val="555555"/>
          <w:sz w:val="18"/>
        </w:rPr>
        <w:t xml:space="preserve">Gentechnikgesetz</w:t>
      </w:r>
    </w:p>
    <w:p>
      <w:r>
        <w:rPr>
          <w:color w:val="555555"/>
          <w:sz w:val="18"/>
        </w:rPr>
        <w:t xml:space="preserve">Stand: 10.06.2019 (konsolidierte Textfassung, kein amtliches Inkrafttretensdatum)</w:t>
      </w:r>
    </w:p>
    <w:p>
      <w:r>
        <w:t xml:space="preserve">Die zuständige Behörde kann ihre Entscheidung mit Nebenbestimmungen versehen, soweit dies erforderlich ist, um die Genehmigungsvoraussetzungen sicherzustellen. Durch Auflagen können insbesondere bestimmte Verfahrensabläufe oder Sicherheitsvorkehrungen oder eine bestimmte Beschaffenheit oder Ausstattung der gentechnischen Anlage angeordnet werden. Die nachträgliche Aufnahme von Nebenbestimmungen oder Auflagen ist unter den Voraussetzungen von Satz 1 zulässig.</w:t>
      </w:r>
    </w:p>
    <w:p>
      <w:r>
        <w:rPr>
          <w:color w:val="555555"/>
          <w:sz w:val="17"/>
        </w:rPr>
        <w:t xml:space="preserve">Zitiervorschlag: § 19 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