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16c GenTG — Beobachtung</w:t>
      </w:r>
    </w:p>
    <w:p>
      <w:r>
        <w:rPr>
          <w:color w:val="555555"/>
          <w:sz w:val="18"/>
        </w:rPr>
        <w:t xml:space="preserve">Gentechnikgesetz</w:t>
      </w:r>
    </w:p>
    <w:p>
      <w:r>
        <w:rPr>
          <w:color w:val="555555"/>
          <w:sz w:val="18"/>
        </w:rPr>
        <w:t xml:space="preserve">Stand: 10.06.2019 (konsolidierte Textfassung, kein amtliches Inkrafttretensdatum)</w:t>
      </w:r>
    </w:p>
    <w:p>
      <w:r>
        <w:t xml:space="preserve">(1) Wer als Betreiber Produkte, die aus gentechnisch veränderten Organismen bestehen oder solche enthalten, in Verkehr bringt, hat diese auch danach nach Maßgabe der Genehmigung zu beobachten, um mögliche Auswirkungen auf die in § 1 Nr. 1 genannten Rechtsgüter zu ermitteln.</w:t>
      </w:r>
    </w:p>
    <w:p>
      <w:r>
        <w:t xml:space="preserve">(2) Ziel der Beobachtung ist es,</w:t>
      </w:r>
    </w:p>
    <w:p>
      <w:pPr>
        <w:ind w:left="420"/>
      </w:pPr>
      <w:r>
        <w:t xml:space="preserve">1. zu bestätigen, dass eine Annahme über das Auftreten und die Wirkung einer etwaigen schädlichen Auswirkung eines gentechnisch veränderten Organismus oder dessen Verwendung in der Risikobewertung zutrifft (fallspezifische Beobachtung), und</w:t>
      </w:r>
    </w:p>
    <w:p>
      <w:pPr>
        <w:ind w:left="420"/>
      </w:pPr>
      <w:r>
        <w:t xml:space="preserve">2. das Auftreten schädlicher Auswirkungen des gentechnisch veränderten Organismus oder dessen Verwendung auf die menschliche Gesundheit oder die Umwelt zu ermitteln, die in der Risikobewertung nicht vorhergesehen wurden (allgemeine Beobachtung).</w:t>
      </w:r>
    </w:p>
    <w:p>
      <w:r>
        <w:t xml:space="preserve">(3) Die Bundesregierung wird ermächtigt, mit Zustimmung des Bundesrates die allgemeinen Grundsätze der Beobachtung von gentechnisch veränderten Organismen durch den Betreiber in einer Rechtsverordnung zu regeln, insbesondere hinsichtlich der Festlegung der Mindeststandards der Beobachtung, der Einbeziehung Dritter sowie der Einbeziehung bundesbehördlicher Beobachtungstätigkeiten.</w:t>
      </w:r>
    </w:p>
    <w:p>
      <w:r>
        <w:rPr>
          <w:color w:val="555555"/>
          <w:sz w:val="17"/>
        </w:rPr>
        <w:t xml:space="preserve">Zitiervorschlag: § 16c GenTG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https://recht.nulegal.eu/gesetze/GenTG/16c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