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16b GenTG — Umgang mit in Verkehr gebrachten Produkten</w:t>
      </w:r>
    </w:p>
    <w:p>
      <w:r>
        <w:rPr>
          <w:color w:val="555555"/>
          <w:sz w:val="18"/>
        </w:rPr>
        <w:t xml:space="preserve">Gentechnikgesetz</w:t>
      </w:r>
    </w:p>
    <w:p>
      <w:r>
        <w:rPr>
          <w:color w:val="555555"/>
          <w:sz w:val="18"/>
        </w:rPr>
        <w:t xml:space="preserve">Stand: 10.06.2019 (konsolidierte Textfassung, kein amtliches Inkrafttretensdatum)</w:t>
      </w:r>
    </w:p>
    <w:p>
      <w:r>
        <w:t xml:space="preserve">(1) Wer zum Inverkehrbringen zugelassene Produkte, die gentechnisch veränderte Organismen enthalten oder daraus bestehen, anbaut, weiterverarbeitet, soweit es sich um Tiere handelt, hält, oder diese erwerbswirtschaftlich, gewerbsmäßig oder in vergleichbarer Weise in den Verkehr bringt, hat Vorsorge dafür zu treffen, dass die in § 1 Nr. 1 und 2 genannten Rechtsgüter und Belange durch die Übertragung von Eigenschaften eines Organismus, die auf gentechnischen Arbeiten beruhen, durch die Beimischung oder durch sonstige Einträge von gentechnisch veränderten Organismen nicht wesentlich beeinträchtigt werden. Er muss diese Pflicht hinsichtlich der in § 1 Nr. 2 genannten Belange gegenüber einem anderen insoweit nicht beachten, als dieser durch schriftliche Vereinbarung mit ihm auf seinen Schutz verzichtet oder ihm auf Anfrage die für seinen Schutz erforderlichen Auskünfte nicht innerhalb eines Monats erteilt hat und die Pflicht im jeweiligen Einzelfall ausschließlich dem Schutz des anderen dient. In der schriftlichen Vereinbarung oder der Anfrage ist der andere über die Rechtsfolgen der Vereinbarung oder die Nichterteilung der Auskünfte aufzuklären und darauf hinzuweisen, dass er zu schützende Rechte Dritter zu beachten hat. Die zulässige Abweichung von den Vorgaben der guten fachlichen Praxis sind der zuständigen Behörde rechtzeitig vor der Aussaat oder Pflanzung anzuzeigen.</w:t>
      </w:r>
    </w:p>
    <w:p>
      <w:r>
        <w:t xml:space="preserve">(1a) Der Bewirtschafter hat ergänzend zu den Angaben nach § 16a Abs. 3 Satz 2</w:t>
      </w:r>
    </w:p>
    <w:p>
      <w:pPr>
        <w:ind w:left="420"/>
      </w:pPr>
      <w:r>
        <w:t xml:space="preserve">1. die Tatsache des Abschlusses einer Vereinbarung im Sinne des Absatzes 1 Satz 2 oder</w:t>
      </w:r>
    </w:p>
    <w:p>
      <w:pPr>
        <w:ind w:left="420"/>
      </w:pPr>
      <w:r>
        <w:t xml:space="preserve">2. die Tatsache, vom Nachbarn keine Auskunft auf eine Anfrage im Sinne des Absatzes 1 Satz 2 erhalten zu haben, soweit er die Absicht hat, von den Vorgaben der guten fachlichen Praxis auf Grund einer fehlenden Erteilung von Auskünften abzuweichen,</w:t>
      </w:r>
    </w:p>
    <w:p>
      <w:r>
        <w:t xml:space="preserve">der zuständigen Bundesoberbehörde spätestens einen Monat vor dem Anbau unter Bezeichnung des betroffenen Grundstückes mitzuteilen. Der allgemein zugängliche Teil des Registers nach § 16a Abs. 1 Satz 1 umfasst zusätzlich zu der Angabe nach § 16a Abs. 4 Satz 1 Nr. 3 die auf das betroffene Grundstück bezogene Angabe nach Satz 1. Im Übrigen gilt § 16a entsprechend.</w:t>
      </w:r>
    </w:p>
    <w:p>
      <w:r>
        <w:t xml:space="preserve">(2) Beim Anbau von Pflanzen, beim sonstigen Umgang mit Pflanzen und bei der Haltung von Tieren wird die Vorsorgepflicht nach Absatz 1 durch die Einhaltung der guten fachlichen Praxis erfüllt.</w:t>
      </w:r>
    </w:p>
    <w:p>
      <w:r>
        <w:t xml:space="preserve">(3) Zur guten fachlichen Praxis gehören, soweit dies zur Erfüllung der Vorsorgepflicht nach Absatz 1 erforderlich ist, insbesondere</w:t>
      </w:r>
    </w:p>
    <w:p>
      <w:pPr>
        <w:ind w:left="420"/>
      </w:pPr>
      <w:r>
        <w:t xml:space="preserve">1. beim Umgang mit gentechnisch veränderten Organismen die Beachtung der Bestimmungen der Genehmigung für das Inverkehrbringen nach § 16 Abs. 5a,</w:t>
      </w:r>
    </w:p>
    <w:p>
      <w:pPr>
        <w:ind w:left="420"/>
      </w:pPr>
      <w:r>
        <w:t xml:space="preserve">2. beim Anbau von gentechnisch veränderten Pflanzen und bei der Herstellung und Ausbringung von Düngemitteln, die gentechnisch veränderte Organismen enthalten, Maßnahmen, um Einträge in andere Grundstücke zu verhindern sowie Auskreuzungen in andere Kulturen benachbarter Flächen und die Weiterverbreitung durch Wildpflanzen zu vermeiden,</w:t>
      </w:r>
    </w:p>
    <w:p>
      <w:pPr>
        <w:ind w:left="420"/>
      </w:pPr>
      <w:r>
        <w:t xml:space="preserve">3. bei der Haltung gentechnisch veränderter Tiere die Verhinderung des Entweichens aus dem zur Haltung vorgesehenen Bereich und des Eindringens anderer Tiere der gleichen Art in diesen Bereich,</w:t>
      </w:r>
    </w:p>
    <w:p>
      <w:pPr>
        <w:ind w:left="420"/>
      </w:pPr>
      <w:r>
        <w:t xml:space="preserve">4. bei Beförderung, Lagerung und Weiterverarbeitung gentechnisch veränderter Organismen die Verhinderung von Verlusten sowie von Vermischungen und Vermengungen mit anderen Erzeugnissen.</w:t>
      </w:r>
    </w:p>
    <w:p>
      <w:r>
        <w:t xml:space="preserve">(4) Wer mit Produkten, die gentechnisch veränderte Organismen enthalten oder daraus bestehen, für erwerbswirtschaftliche, gewerbsmäßige oder vergleichbare Zwecke umgeht, muss die Zuverlässigkeit, Kenntnisse, Fertigkeiten und Ausstattung besitzen, um die Vorsorgepflicht nach Absatz 1 erfüllen zu können.</w:t>
      </w:r>
    </w:p>
    <w:p>
      <w:r>
        <w:t xml:space="preserve">(5) Wer Produkte, die gentechnisch veränderte Organismen enthalten oder daraus bestehen, in Verkehr bringt, hat eine Produktinformation mitzuliefern, die die Bestimmungen der Genehmigung enthält, soweit diese sich auf den Umgang mit dem Produkt beziehen, und aus der hervorgeht, wie die Pflichten nach Absatz 1 bis 3 erfüllt werden können.</w:t>
      </w:r>
    </w:p>
    <w:p>
      <w:r>
        <w:t xml:space="preserve">(6) Die Bundesregierung wird ermächtigt, durch Rechtsverordnung mit Zustimmung des Bundesrates die Grundsätze der guten fachlichen Praxis im Sinne des Absatzes 3, einschließlich des Informationsaustauschs mit Nachbarn und Behörden, die Eignung von Person und Ausstattung nach Absatz 4 und die inhaltliche Gestaltung der Produktinformation nach Absatz 5 näher zu bestimmen.</w:t>
      </w:r>
    </w:p>
    <w:p>
      <w:r>
        <w:rPr>
          <w:color w:val="555555"/>
          <w:sz w:val="17"/>
        </w:rPr>
        <w:t xml:space="preserve">Zitiervorschlag: § 16b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https://recht.nulegal.eu/gesetze/GenTG/16b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