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GenTG — Genehmigungsvoraussetzungen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Genehmigung zur Errichtung und zum Betrieb einer gentechnischen Anlage ist zu erteilen, wenn</w:t>
      </w:r>
    </w:p>
    <w:p>
      <w:pPr>
        <w:ind w:left="420"/>
      </w:pPr>
      <w:r>
        <w:t xml:space="preserve">1. keine Tatsachen vorliegen, aus denen sich Bedenken gegen die Zuverlässigkeit des Betreibers und der für die Errichtung sowie für die Leitung und die Beaufsichtigung des Betriebs der Anlage verantwortlichen Personen ergeben,</w:t>
      </w:r>
    </w:p>
    <w:p>
      <w:pPr>
        <w:ind w:left="420"/>
      </w:pPr>
      <w:r>
        <w:t xml:space="preserve">2. gewährleistet ist, daß der Projektleiter sowie der oder die Beauftragten für die Biologische Sicherheit die für ihre Aufgaben erforderliche Sachkunde besitzen und die ihnen obliegenden Verpflichtungen ständig erfüllen können,</w:t>
      </w:r>
    </w:p>
    <w:p>
      <w:pPr>
        <w:ind w:left="420"/>
      </w:pPr>
      <w:r>
        <w:t xml:space="preserve">3. sichergestellt ist, daß vom Antragsteller die sich aus § 6 Abs. 1 und 2 und den Rechtsverordnungen nach § 30 Abs. 2 Nr. 2, 4, 5, 6 und 9 ergebenden Pflichten für die Durchführung der vorgesehenen gentechnischen Arbeiten erfüllt werden,</w:t>
      </w:r>
    </w:p>
    <w:p>
      <w:pPr>
        <w:ind w:left="420"/>
      </w:pPr>
      <w:r>
        <w:t xml:space="preserve">4. gewährleistet ist, daß für die erforderliche Sicherheitsstufe die nach dem Stand der Wissenschaft und Technik notwendigen Einrichtungen vorhanden und Vorkehrungen getroffen sind und deshalb schädliche Einwirkungen auf die in § 1 Nr. 1 bezeichneten Rechtsgüter nicht zu erwarten sind,</w:t>
      </w:r>
    </w:p>
    <w:p>
      <w:pPr>
        <w:ind w:left="420"/>
      </w:pPr>
      <w:r>
        <w:t xml:space="preserve">5. keine Tatsachen vorliegen, denen die Verbote des Artikels 2 des Gesetzes vom 21. Februar 1983 zu dem Übereinkommen vom 10. April 1972 über das Verbot der Entwicklung, Herstellung und Lagerung bakteriologischer (biologischer) Waffen und von Toxinwaffen sowie über die Vernichtung solcher Waffen (BGBl. 1983 II S. 132) und die Bestimmungen zum Verbot von biologischen und chemischen Waffen im Ausführungsgesetz zu Artikel 26 Abs. 2 des Grundgesetzes (Gesetz über die Kontrolle von Kriegswaffen in der Fassung der Bekanntmachung vom 22. November 1990 (BGBl. I S. 2506), zuletzt geändert durch Artikel 17 des Gesetzes vom 21. Dezember 1992 (BGBl. I S. 2150)) entgegenstehen, und</w:t>
      </w:r>
    </w:p>
    <w:p>
      <w:pPr>
        <w:ind w:left="420"/>
      </w:pPr>
      <w:r>
        <w:t xml:space="preserve">6. andere öffentlich-rechtliche Vorschriften und Belange des Arbeitsschutzes der Errichtung und dem Betrieb der gentechnischen Anlage nicht entgegenstehen.</w:t>
      </w:r>
    </w:p>
    <w:p>
      <w:r>
        <w:t xml:space="preserve">(2) Die Teilgenehmigung nach § 8 Abs. 3 ist zu erteilen, wenn eine vorläufige Prüfung ergibt, daß die Voraussetzungen des Absatzes 1 im Hinblick auf die Errichtung und den Betrieb der gesamten gentechnischen Anlage vorliegen werden und ein berechtigtes Interesse an der Erteilung einer Teilgenehmigung besteht.</w:t>
      </w:r>
    </w:p>
    <w:p>
      <w:r>
        <w:t xml:space="preserve">(3) Die Genehmigung nach § 9 Abs. 2 Satz 2 oder Abs. 3 ist zu erteilen, wenn die Voraussetzungen nach Absatz 1 Nr. 1 bis 5 für die Durchführung der vorgesehenen weiteren gentechnischen Arbeiten vorliegen.</w:t>
      </w:r>
    </w:p>
    <w:p>
      <w:r>
        <w:rPr>
          <w:color w:val="555555"/>
          <w:sz w:val="17"/>
        </w:rPr>
        <w:t xml:space="preserve">Zitiervorschlag: § 11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