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GenTG — Zweck des Gesetzes</w:t>
      </w:r>
    </w:p>
    <w:p>
      <w:r>
        <w:rPr>
          <w:color w:val="555555"/>
          <w:sz w:val="18"/>
        </w:rPr>
        <w:t xml:space="preserve">Gentechnikgesetz</w:t>
      </w:r>
    </w:p>
    <w:p>
      <w:r>
        <w:rPr>
          <w:color w:val="555555"/>
          <w:sz w:val="18"/>
        </w:rPr>
        <w:t xml:space="preserve">Stand: 10.06.2019 (konsolidierte Textfassung, kein amtliches Inkrafttretensdatum)</w:t>
      </w:r>
    </w:p>
    <w:p>
      <w:r>
        <w:t xml:space="preserve">Zweck dieses Gesetzes ist,</w:t>
      </w:r>
    </w:p>
    <w:p>
      <w:pPr>
        <w:ind w:left="420"/>
      </w:pPr>
      <w:r>
        <w:t xml:space="preserve">1. unter Berücksichtigung ethischer Werte, Leben und Gesundheit von Menschen, die Umwelt in ihrem Wirkungsgefüge, Tiere, Pflanzen und Sachgüter vor schädlichen Auswirkungen gentechnischer Verfahren und Produkte zu schützen und Vorsorge gegen das Entstehen solcher Gefahren zu treffen,</w:t>
      </w:r>
    </w:p>
    <w:p>
      <w:pPr>
        <w:ind w:left="420"/>
      </w:pPr>
      <w:r>
        <w:t xml:space="preserve">2. die Möglichkeit zu gewährleisten, dass Produkte, insbesondere Lebens- und Futtermittel, konventionell, ökologisch oder unter Einsatz gentechnisch veränderter Organismen erzeugt und in den Verkehr gebracht werden können,</w:t>
      </w:r>
    </w:p>
    <w:p>
      <w:pPr>
        <w:ind w:left="420"/>
      </w:pPr>
      <w:r>
        <w:t xml:space="preserve">3. den rechtlichen Rahmen für die Erforschung, Entwicklung, Nutzung und Förderung der wissenschaftlichen, technischen und wirtschaftlichen Möglichkeiten der Gentechnik zu schaffen.</w:t>
      </w:r>
    </w:p>
    <w:p>
      <w:r>
        <w:rPr>
          <w:color w:val="555555"/>
          <w:sz w:val="17"/>
        </w:rPr>
        <w:t xml:space="preserve">Zitiervorschlag: § 1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