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GenTBetV</w:t>
      </w:r>
    </w:p>
    <w:p>
      <w:r>
        <w:rPr>
          <w:color w:val="555555"/>
          <w:sz w:val="18"/>
        </w:rPr>
        <w:t xml:space="preserve">Gentechnik-Beteiligungsverordnung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16 Abs. 6 des Gentechnikgesetzes in der Fassung der Bekanntmachung vom 16. Dezember 1993 (BGBl. I S. 2066) verordnet das Bundesministerium für Gesundheit:</w:t>
      </w:r>
    </w:p>
    <w:p>
      <w:r>
        <w:rPr>
          <w:color w:val="555555"/>
          <w:sz w:val="17"/>
        </w:rPr>
        <w:t xml:space="preserve">Zitiervorschlag: Eingangsformel GenTBetV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https://recht.nulegal.eu/gesetze/GenTBetV/eingangsformel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