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GenTBetV — Inkrafttreten</w:t>
      </w:r>
    </w:p>
    <w:p>
      <w:r>
        <w:rPr>
          <w:color w:val="555555"/>
          <w:sz w:val="18"/>
        </w:rPr>
        <w:t xml:space="preserve">Gentechnik-Beteiligungsverordnung</w:t>
      </w:r>
    </w:p>
    <w:p>
      <w:r>
        <w:rPr>
          <w:color w:val="555555"/>
          <w:sz w:val="18"/>
        </w:rPr>
        <w:t xml:space="preserve">Stand: 10.06.2019 (konsolidierte Textfassung, kein amtliches Inkrafttretensdatum)</w:t>
      </w:r>
    </w:p>
    <w:p>
      <w:r>
        <w:t xml:space="preserve">Diese Verordnung tritt am Tage nach der Verkündung in Kraft. Die darin enthaltenen Regelungen über die Beteiligung der anderen Vertragsstaaten des Abkommens über den Europäischen Wirtschaftsraum sind ab dem 1. Januar 1995 anzuwenden.</w:t>
      </w:r>
    </w:p>
    <w:p>
      <w:r>
        <w:rPr>
          <w:color w:val="555555"/>
          <w:sz w:val="17"/>
        </w:rPr>
        <w:t xml:space="preserve">Zitiervorschlag: § 6 GenTBetV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https://recht.nulegal.eu/gesetze/GenTBetV/6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