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GenTBetV — Verfahren bei Anträgen zur Freisetzung aus Mitgliedstaaten der Europäischen Union oder anderen Vertragsstaaten des Abkommens über den Europäischen Wirtschaftsraum</w:t>
      </w:r>
    </w:p>
    <w:p>
      <w:r>
        <w:rPr>
          <w:color w:val="555555"/>
          <w:sz w:val="18"/>
        </w:rPr>
        <w:t xml:space="preserve">Gentechnik-Beteiligungsverordnung</w:t>
      </w:r>
    </w:p>
    <w:p>
      <w:r>
        <w:rPr>
          <w:color w:val="555555"/>
          <w:sz w:val="18"/>
        </w:rPr>
        <w:t xml:space="preserve">Stand: 10.06.2019 (konsolidierte Textfassung, kein amtliches Inkrafttretensdatum)</w:t>
      </w:r>
    </w:p>
    <w:p>
      <w:r>
        <w:t xml:space="preserve">(1) Erhält die zuständige Bundesoberbehörde von der Kommission eine Zusammenfassung von Antragsunterlagen für eine Freisetzung aus einem Mitgliedstaat der Europäischen Union oder einem anderen Vertragsstaat des Abkommens über den Europäischen Wirtschaftsraum, so kann sie innerhalb von 30 Tagen nach der Verteilung der Zusammenfassung durch die Kommission die zuständige Behörde des Mitgliedstaates der Europäischen Union oder des anderen Vertragsstaates des Abkommens über den Europäischen Wirtschaftsraum um weitere Auskünfte ersuchen oder eine Kopie der vollständigen Antragsunterlagen beantragen und ihr über die Kommission oder unmittelbar ihre Bemerkungen übermitteln. Die zuständige Bundesoberbehörde hat die Zusammenfassung der Antragsunterlagen und die nachträglich erhaltenen Informationen unverzüglich den in § 16 Abs. 4 Satz 1 und Satz 2 des Gesetzes genannten Behörden zur Stellungnahme zuzuleiten.</w:t>
      </w:r>
    </w:p>
    <w:p>
      <w:r>
        <w:t xml:space="preserve">(2) Wurde in einem Mitgliedstaat der Europäischen Union oder einem anderen Vertragsstaat des Abkommens über den Europäischen Wirtschaftsraum eine Freisetzung in Grenznähe zu einem Land der Bundesrepublik Deutschland genehmigt, so hat die zuständige Bundesoberbehörde die jeweils zuständige Landesbehörde des angrenzenden Landes über diese Entscheidung zu unterrichten.</w:t>
      </w:r>
    </w:p>
    <w:p>
      <w:r>
        <w:rPr>
          <w:color w:val="555555"/>
          <w:sz w:val="17"/>
        </w:rPr>
        <w:t xml:space="preserve">Zitiervorschlag: § 2 GenTBetV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https://recht.nulegal.eu/gesetze/GenTBetV/2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