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GenTAufzV — Aufzeichnungs- und Vorlagepflichtiger, Aufbewahrungsfrist</w:t>
      </w:r>
    </w:p>
    <w:p>
      <w:r>
        <w:rPr>
          <w:color w:val="555555"/>
          <w:sz w:val="18"/>
        </w:rPr>
        <w:t xml:space="preserve">Gentechnik-Aufzeichnungsverordnung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hat die Aufzeichnungen der zuständigen Behörde auf ihr Ersuchen vorzulegen. Er hat die Aufzeichnungen aufzubewahren; die Aufbewahrungsfristen betragen</w:t>
      </w:r>
    </w:p>
    <w:p>
      <w:pPr>
        <w:ind w:left="420"/>
      </w:pPr>
      <w:r>
        <w:t xml:space="preserve">1. zehn Jahre bei gentechnischen Arbeiten der Sicherheitsstufe 1,</w:t>
      </w:r>
    </w:p>
    <w:p>
      <w:pPr>
        <w:ind w:left="420"/>
      </w:pPr>
      <w:r>
        <w:t xml:space="preserve">2. dreißig Jahre bei gentechnischen Arbeiten der Sicherheitsstufen 2 bis 4 und</w:t>
      </w:r>
    </w:p>
    <w:p>
      <w:pPr>
        <w:ind w:left="420"/>
      </w:pPr>
      <w:r>
        <w:t xml:space="preserve">3. dreißig Jahre bei Freisetzungen,</w:t>
      </w:r>
    </w:p>
    <w:p>
      <w:r>
        <w:t xml:space="preserve">jeweils nach Beendigung der gentechnischen Arbeiten oder der Freisetzungen.</w:t>
      </w:r>
    </w:p>
    <w:p>
      <w:r>
        <w:t xml:space="preserve">(2) Der Betreiber kann den Projektleiter mit der Führung der Aufzeichnungen beauftragen.</w:t>
      </w:r>
    </w:p>
    <w:p>
      <w:r>
        <w:t xml:space="preserve">(3) Bei Betriebsstillegung hat der Betreiber einer gentechnischen Anlage die Aufzeichnungen unverzüglich der zuständigen Behörde auszuhändigen, sofern die in Absatz 1 genannten Fristen noch nicht abgelaufen sind.</w:t>
      </w:r>
    </w:p>
    <w:p>
      <w:r>
        <w:rPr>
          <w:color w:val="555555"/>
          <w:sz w:val="17"/>
        </w:rPr>
        <w:t xml:space="preserve">Zitiervorschlag: § 4 GenTAufzV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https://recht.nulegal.eu/gesetze/GenTAufzV/4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