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GenTAufzV — Form der Aufzeichnungen</w:t>
      </w:r>
    </w:p>
    <w:p>
      <w:r>
        <w:rPr>
          <w:color w:val="555555"/>
          <w:sz w:val="18"/>
        </w:rPr>
        <w:t xml:space="preserve">Gentechnik-Aufzeichnungsverordnung</w:t>
      </w:r>
    </w:p>
    <w:p>
      <w:r>
        <w:rPr>
          <w:color w:val="555555"/>
          <w:sz w:val="18"/>
        </w:rPr>
        <w:t xml:space="preserve">Stand: 10.06.2019 (konsolidierte Textfassung, kein amtliches Inkrafttretensdatum)</w:t>
      </w:r>
    </w:p>
    <w:p>
      <w:r>
        <w:t xml:space="preserve">(1) Die Aufzeichnungen dürfen weder durch Streichung noch auf andere Weise unleserlich gemacht werden. Es dürfen keine Veränderungen vorgenommen werden, die nicht erkennen lassen, ob sie bei der ursprünglichen Eintragung oder erst später vorgenommen worden sind.</w:t>
      </w:r>
    </w:p>
    <w:p>
      <w:r>
        <w:t xml:space="preserve">(2) Die Aufzeichnungen können auch auf einem Bildträger oder auf anderen Datenträgern geführt und aufbewahrt werden; hierbei muß sichergestellt sein, daß nachträgliche Änderungen des Inhalts nicht möglich sind. Bei der Aufbewahrung der Aufzeichnungen auf Datenträgern muß insbesondere sichergestellt sein, daß die Daten während der Aufbewahrungsfrist verfügbar sind und innerhalb einer angemessenen Frist lesbar gemacht werden können. Absatz 1 gilt entsprechend.</w:t>
      </w:r>
    </w:p>
    <w:p>
      <w:r>
        <w:t xml:space="preserve">(3) Die Aufzeichnungen sind vom Betreiber, dem von ihm beauftragten Projektleiter oder einer von diesem bestimmten Person zu unterschreiben. Erfolgen Führung und Aufbewahrung nach Absatz 2, ist sicherzustellen, daß die eindeutige Zuordnung zu dem Verantwortlichen gewährleistet ist.</w:t>
      </w:r>
    </w:p>
    <w:p>
      <w:r>
        <w:rPr>
          <w:color w:val="555555"/>
          <w:sz w:val="17"/>
        </w:rPr>
        <w:t xml:space="preserve">Zitiervorschlag: § 3 GenTAufzV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https://recht.nulegal.eu/gesetze/GenTAufzV/3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