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GenTAnhV — Verlegung des Erörterungstermins</w:t>
      </w:r>
    </w:p>
    <w:p>
      <w:r>
        <w:rPr>
          <w:color w:val="555555"/>
          <w:sz w:val="18"/>
        </w:rPr>
        <w:t xml:space="preserve">Gentechnik-Anhörungsverordnung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Genehmigungsbehörde kann den bekanntgemachten Erörterungstermin verlegen, wenn dies im Hinblick auf dessen zweckgerechte Durchführung erforderlich ist. Ort und Zeit des neuen Erörterungstermins sind zum frühestmöglichen Zeitpunkt zu bestimmen.</w:t>
      </w:r>
    </w:p>
    <w:p>
      <w:r>
        <w:t xml:space="preserve">(2) Der Antragsteller und diejenigen, die rechtzeitig Einwendungen erhoben haben, sind von der Verlegung des Erörterungstermins zu benachrichtigen. Sie können durch öffentliche Bekanntmachung benachrichtigt werden.</w:t>
      </w:r>
    </w:p>
    <w:p>
      <w:r>
        <w:rPr>
          <w:color w:val="555555"/>
          <w:sz w:val="17"/>
        </w:rPr>
        <w:t xml:space="preserve">Zitiervorschlag: § 9 GenTAnhV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https://recht.nulegal.eu/gesetze/GenTAnhV/9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