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GenTAnhV — Besondere Einwendungen</w:t>
      </w:r>
    </w:p>
    <w:p>
      <w:r>
        <w:rPr>
          <w:color w:val="555555"/>
          <w:sz w:val="18"/>
        </w:rPr>
        <w:t xml:space="preserve">Gentechnik-Anhörungsverordnung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Einwendungen, die auf besonderen privatrechtlichen Titeln beruhen, sind im Erörterungstermin nicht zu behandeln; sie sind durch schriftlichen Bescheid auf den Rechtsweg vor den ordentlichen Gerichten zu verweisen.</w:t>
      </w:r>
    </w:p>
    <w:p>
      <w:r>
        <w:rPr>
          <w:color w:val="555555"/>
          <w:sz w:val="17"/>
        </w:rPr>
        <w:t xml:space="preserve">Zitiervorschlag: § 7 GenTAnhV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https://recht.nulegal.eu/gesetze/GenTAnhV/7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