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GenTAnhV — Einwendungen</w:t>
      </w:r>
    </w:p>
    <w:p>
      <w:r>
        <w:rPr>
          <w:color w:val="555555"/>
          <w:sz w:val="18"/>
        </w:rPr>
        <w:t xml:space="preserve">Gentechnik-Anhörungsverordnung</w:t>
      </w:r>
    </w:p>
    <w:p>
      <w:r>
        <w:rPr>
          <w:color w:val="555555"/>
          <w:sz w:val="18"/>
        </w:rPr>
        <w:t xml:space="preserve">Stand: 10.06.2019 (konsolidierte Textfassung, kein amtliches Inkrafttretensdatum)</w:t>
      </w:r>
    </w:p>
    <w:p>
      <w:r>
        <w:t xml:space="preserve">(1) Einwendungen gegen das Vorhaben können schriftlich oder zur Niederschrift in den Fällen des § 1 Nr. 1 bis 4 bis zu zwei Wochen und im Fall des § 1 Nr. 5 bis zu einem Monat nach Ablauf der Auslegungsfrist nach § 3 Abs. 2 Satz 1 bei der Genehmigungsbehörde oder bei einer Stelle erhoben und begründet werden, bei der Antrag und Unterlagen zur Einsicht ausgelegt sind. Mit Ablauf der Frist werden alle Einwendungen ausgeschlossen, die nicht auf besonderen privatrechtlichen Titeln beruhen.</w:t>
      </w:r>
    </w:p>
    <w:p>
      <w:r>
        <w:t xml:space="preserve">(2) Der Inhalt der Einwendungen ist dem Antragsteller anonymisiert und im Wortlaut bekanntzugeben. Den nach § 9 der Gentechnik-Verfahrensverordnung zu beteiligenden Stellen ist der anonymisierte Inhalt der Einwendungen bekanntzugeben, soweit sie ihre Aufgaben berühren.</w:t>
      </w:r>
    </w:p>
    <w:p>
      <w:r>
        <w:rPr>
          <w:color w:val="555555"/>
          <w:sz w:val="17"/>
        </w:rPr>
        <w:t xml:space="preserve">Zitiervorschlag: § 5 GenTAnhV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https://recht.nulegal.eu/gesetze/GenTAnhV/5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