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GenTAnhV — Auslegung von Antrag und Unterlagen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Genehmigungsbehörde und, soweit erforderlich, bei einer geeigneten Stelle in der Nähe des Standortes der Anlage oder in der Gemeinde, in der die Freisetzung vorgesehen ist, sind auszulegen</w:t>
      </w:r>
    </w:p>
    <w:p>
      <w:pPr>
        <w:ind w:left="420"/>
      </w:pPr>
      <w:r>
        <w:t xml:space="preserve">1. der Antrag sowie die beigefügten Unterlagen, die die Angaben über die Auswirkungen der Anlage auf die in § 1 Nr. 1 des Gentechnikgesetzes genannten Rechtsgüter enthalten, sowie bei Freisetzungen die Darlegung der möglichen sicherheitsrelevanten Auswirkungen auf die in § 1 Nr. 1 des Gentechnikgesetzes genannten Rechtsgüter und der vorgesehenen Vorkehrungen nach § 15 Abs. 1 Nr. 4 des Gentechnikgesetzes und</w:t>
      </w:r>
    </w:p>
    <w:p>
      <w:pPr>
        <w:ind w:left="420"/>
      </w:pPr>
      <w:r>
        <w:t xml:space="preserve">2. die Kurzbeschreibung nach § 4 Abs. 3 oder bei Freisetzungen nach § 5 Abs. 3 der Gentechnik-Verfahrensverordnung.</w:t>
      </w:r>
    </w:p>
    <w:p>
      <w:r>
        <w:t xml:space="preserve">In den Antrag und die Unterlagen sowie die Kurzbeschreibung ist während der Dienststunden Einsicht zu gewähren.</w:t>
      </w:r>
    </w:p>
    <w:p>
      <w:r>
        <w:t xml:space="preserve">(2) Auf Anforderung eines Dritten ist diesem eine Ablichtung der Kurzbeschreibung nach Absatz 1 Nr. 2 zu überlassen.</w:t>
      </w:r>
    </w:p>
    <w:p>
      <w:r>
        <w:t xml:space="preserve">(3) Soweit Unterlagen Geschäfts- oder Betriebsgeheimnisse oder personenbezogene Daten enthalten, sind die geschützten Angaben vor Auslegung unkenntlich zu machen; ersatzweise ist anstelle der Unterlagen die Inhaltsdarstellung nach § 17a Abs. 3 des Gentechnikgesetzes auszulegen.</w:t>
      </w:r>
    </w:p>
    <w:p>
      <w:r>
        <w:rPr>
          <w:color w:val="555555"/>
          <w:sz w:val="17"/>
        </w:rPr>
        <w:t xml:space="preserve">Zitiervorschlag: § 4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