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GenTAnhV — Anwendungsbereich</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Anhörungen nach dieser Verordnung sind durchzuführen vor der Entscheidung über die Genehmigung</w:t>
      </w:r>
    </w:p>
    <w:p>
      <w:pPr>
        <w:ind w:left="420"/>
      </w:pPr>
      <w:r>
        <w:t xml:space="preserve">1. der Errichtung und des Betriebs einer gentechnischen Anlage, in der gentechnische Arbeiten zu gewerblichen Zwecken der Sicherheitsstufe 3 oder 4 durchgeführt werden sollen,</w:t>
      </w:r>
    </w:p>
    <w:p>
      <w:pPr>
        <w:ind w:left="420"/>
      </w:pPr>
      <w:r>
        <w:t xml:space="preserve">2. gentechnischer Anlagen, in denen gentechnische Arbeiten zu gewerblichen Zwecken der Sicherheitsstufe 2 durchgeführt werden sollen, wenn für diese eine Genehmigung nach § 8 Abs. 2 Satz 2 des Gentechnikgesetzes beantragt wird und ein Genehmigungsverfahren nach § 10 des Bundes-Immissionsschutzgesetzes erforderlich ist,</w:t>
      </w:r>
    </w:p>
    <w:p>
      <w:pPr>
        <w:ind w:left="420"/>
      </w:pPr>
      <w:r>
        <w:t xml:space="preserve">3. der wesentlichen Änderung der Lage, der Beschaffenheit oder des Betriebs einer in Nummer 1 oder 2 aufgeführten gentechnischen Anlage, wenn zu besorgen ist, daß durch die Änderung zusätzliche oder andere Gefahren für die in § 1 Nr. 1 des Gentechnikgesetzes bezeichneten Rechtsgüter zu erwarten sind,</w:t>
      </w:r>
    </w:p>
    <w:p>
      <w:pPr>
        <w:ind w:left="420"/>
      </w:pPr>
      <w:r>
        <w:t xml:space="preserve">4. von weiteren gentechnischen Arbeiten zu gewerblichen Zwecken, die einer höheren Sicherheitsstufe als die bisher von der Genehmigung oder Anmeldung umfaßten Arbeiten zuzuordnen sind, soweit die Erteilung der erforderlichen Anlagengenehmigung nach Nummer 1 oder 2 eine Anhörung voraussetzt, und</w:t>
      </w:r>
    </w:p>
    <w:p>
      <w:pPr>
        <w:ind w:left="420"/>
      </w:pPr>
      <w:r>
        <w:t xml:space="preserve">5. einer Freisetzung.</w:t>
      </w:r>
    </w:p>
    <w:p>
      <w:r>
        <w:t xml:space="preserve">Eine Anhörung wird nicht durchgeführt, wenn nach § 11 Abs. 1 Satz 2 der Gentechnik-Verfahrensverordnung eine Freisetzung nachgemeldet wird.</w:t>
      </w:r>
    </w:p>
    <w:p>
      <w:r>
        <w:rPr>
          <w:color w:val="555555"/>
          <w:sz w:val="17"/>
        </w:rPr>
        <w:t xml:space="preserve">Zitiervorschlag: § 1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