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GenRegV — (zu § 25) Inhalt des Genossenschaftsregisters als fortlaufender Text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2274; bzgl. der einzelnen Änderungen vgl. Fußnote)</w:t>
      </w:r>
    </w:p>
    <w:p>
      <w:r>
        <w:rPr>
          <w:rFonts w:ascii="Courier New" w:hAnsi="Courier New"/>
          <w:sz w:val="17"/>
        </w:rPr>
        <w:t xml:space="preserve">Genossenschaftsregister des Amtsgerichts</w:t>
      </w:r>
    </w:p>
    <w:p>
      <w:r>
        <w:rPr>
          <w:rFonts w:ascii="Courier New" w:hAnsi="Courier New"/>
          <w:sz w:val="17"/>
        </w:rPr>
        <w:t xml:space="preserve">Nummer der Firma: GnR</w:t>
      </w:r>
    </w:p>
    <w:p>
      <w:r>
        <w:rPr>
          <w:rFonts w:ascii="Courier New" w:hAnsi="Courier New"/>
          <w:sz w:val="17"/>
        </w:rPr>
        <w:t xml:space="preserve">Wiedergabe des aktuellen Registerinhalts</w:t>
      </w:r>
    </w:p>
    <w:p>
      <w:r>
        <w:rPr>
          <w:rFonts w:ascii="Courier New" w:hAnsi="Courier New"/>
          <w:sz w:val="17"/>
        </w:rPr>
        <w:t xml:space="preserve">1.    Anzahl der bisherigen Eintragungen:</w:t>
      </w:r>
    </w:p>
    <w:p>
      <w:r>
        <w:rPr>
          <w:rFonts w:ascii="Courier New" w:hAnsi="Courier New"/>
          <w:sz w:val="17"/>
        </w:rPr>
        <w:t xml:space="preserve">2.    a)Firma:b)Sitz, Niederlassung, inländische Geschäftsanschrift und empfangsberechtigte Person der Europäischen Genossenschaft, Zweigniederlassungen:c)Gegenstand des Unternehmens:</w:t>
      </w:r>
    </w:p>
    <w:p>
      <w:r>
        <w:rPr>
          <w:rFonts w:ascii="Courier New" w:hAnsi="Courier New"/>
          <w:sz w:val="17"/>
        </w:rPr>
        <w:t xml:space="preserve">3.    Nachschusspflicht, Mindestkapital; Grundkapital der Europäischen Genossenschaft:</w:t>
      </w:r>
    </w:p>
    <w:p>
      <w:r>
        <w:rPr>
          <w:rFonts w:ascii="Courier New" w:hAnsi="Courier New"/>
          <w:sz w:val="17"/>
        </w:rPr>
        <w:t xml:space="preserve">4.    a)Allgemeine Vertretungsregelung:b)Vorstand; Leitungsorgan oder geschäftsführende Direktoren der Europäischen Genossenschaft; Vertretungsberechtigte und besondere Vertretungsbefugnis:</w:t>
      </w:r>
    </w:p>
    <w:p>
      <w:r>
        <w:rPr>
          <w:rFonts w:ascii="Courier New" w:hAnsi="Courier New"/>
          <w:sz w:val="17"/>
        </w:rPr>
        <w:t xml:space="preserve">5.    Prokura:</w:t>
      </w:r>
    </w:p>
    <w:p>
      <w:r>
        <w:rPr>
          <w:rFonts w:ascii="Courier New" w:hAnsi="Courier New"/>
          <w:sz w:val="17"/>
        </w:rPr>
        <w:t xml:space="preserve">6.    a)Rechtsform und Satzung:b)Sonstige Rechtsverhältnisse:</w:t>
      </w:r>
    </w:p>
    <w:p>
      <w:r>
        <w:rPr>
          <w:rFonts w:ascii="Courier New" w:hAnsi="Courier New"/>
          <w:sz w:val="17"/>
        </w:rPr>
        <w:t xml:space="preserve">7.    Tag der letzten Eintragung:</w:t>
      </w:r>
    </w:p>
    <w:p>
      <w:r>
        <w:rPr>
          <w:rFonts w:ascii="Courier New" w:hAnsi="Courier New"/>
          <w:sz w:val="17"/>
        </w:rPr>
        <w:t xml:space="preserve">Anmerkung:    Die beiden Kopfzeilen müssen beim Abruf der Registerdaten auf dem Bildschirm stets sichtbar sein.</w:t>
      </w:r>
    </w:p>
    <w:p>
      <w:r>
        <w:rPr>
          <w:color w:val="555555"/>
          <w:sz w:val="17"/>
        </w:rPr>
        <w:t xml:space="preserve">Zitiervorschlag: Anlage 2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