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GenRegV — Form der Anmeldung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Vorschrift, dass Anmeldungen zum Genossenschaftsregister in öffentlich beglaubigter Form einzureichen sind (§ 157 des Gesetzes), gilt nur für die Anmeldungen, die in dem Gesetz als solche ausdrücklich bezeichnet sind.</w:t>
      </w:r>
    </w:p>
    <w:p>
      <w:r>
        <w:t xml:space="preserve">(2) Dahin gehören:</w:t>
      </w:r>
    </w:p>
    <w:p>
      <w:pPr>
        <w:ind w:left="420"/>
      </w:pPr>
      <w:r>
        <w:t xml:space="preserve">1. die Anmeldung der Satzung (Gesetz §§ 10, 11);</w:t>
      </w:r>
    </w:p>
    <w:p>
      <w:pPr>
        <w:ind w:left="420"/>
      </w:pPr>
      <w:r>
        <w:t xml:space="preserve">2. die Anmeldung von Änderungen der Satzung (Gesetz § 16);</w:t>
      </w:r>
    </w:p>
    <w:p>
      <w:pPr>
        <w:ind w:left="420"/>
      </w:pPr>
      <w:r>
        <w:t xml:space="preserve">3. die Anmeldung einer Zweigniederlassung und ihrer Aufhebung (Gesetz § 14);</w:t>
      </w:r>
    </w:p>
    <w:p>
      <w:pPr>
        <w:ind w:left="420"/>
      </w:pPr>
      <w:r>
        <w:t xml:space="preserve">4. die Anmeldung der Bestellung, des Ausscheidens, der vorläufigen Enthebung und der Änderung der Vertretungsbefugnis eines Vorstandsmitglieds, seines Stellvertreters oder eines Liquidators (Gesetz §§ 10, 11, 28, 35, 84 Abs. 1, § 85 Abs. 2);</w:t>
      </w:r>
    </w:p>
    <w:p>
      <w:pPr>
        <w:ind w:left="420"/>
      </w:pPr>
      <w:r>
        <w:t xml:space="preserve">5. die Anmeldung der Erteilung, der Änderung und des Erlöschens einer Prokura (Gesetz § 42 Abs. 1, Handelsgesetzbuch § 53);</w:t>
      </w:r>
    </w:p>
    <w:p>
      <w:pPr>
        <w:ind w:left="420"/>
      </w:pPr>
      <w:r>
        <w:t xml:space="preserve">6. die Anmeldung der Auflösung und der Fortsetzung einer Genossenschaft in den Fällen der §§ 78, 79, 79a, 117 des Gesetzes;</w:t>
      </w:r>
    </w:p>
    <w:p>
      <w:pPr>
        <w:ind w:left="420"/>
      </w:pPr>
      <w:r>
        <w:t xml:space="preserve">7. die Anmeldung der Umwandlung unter Beteiligung einer Genossenschaft (§§ 16, 38, 125, 129, 137, 148, 198, 222, 254, 265, 286 UmwG);</w:t>
      </w:r>
    </w:p>
    <w:p>
      <w:pPr>
        <w:ind w:left="420"/>
      </w:pPr>
      <w:r>
        <w:t xml:space="preserve">8. (weggefallen).</w:t>
      </w:r>
    </w:p>
    <w:p>
      <w:r>
        <w:t xml:space="preserve">(3) Die Anmeldung durch einen Bevollmächtigten ist ausgeschlossen. § 378 des Gesetzes über das Verfahren in Familiensachen und in den Angelegenheiten der freiwilligen Gerichtsbarkeit bleibt unberührt.</w:t>
      </w:r>
    </w:p>
    <w:p>
      <w:r>
        <w:t xml:space="preserve">(4) Auf Anmeldungen zum Genossenschaftsregister, welche die Europäische Genossenschaft betreffen, sind die Absätze 1 bis 3 unter Berücksichtigung der §§ 3, 17, 22 Abs. 1 und des § 26 des SCE-Ausführungsgesetzes entsprechend anzuwenden.</w:t>
      </w:r>
    </w:p>
    <w:p>
      <w:r>
        <w:rPr>
          <w:color w:val="555555"/>
          <w:sz w:val="17"/>
        </w:rPr>
        <w:t xml:space="preserve">Zitiervorschlag: § 6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