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GenRegV — Anmeldepflicht bei Beendigung der Liquidation und Eintragungen bei Insolvenz</w:t>
      </w:r>
    </w:p>
    <w:p>
      <w:r>
        <w:rPr>
          <w:color w:val="555555"/>
          <w:sz w:val="18"/>
        </w:rPr>
        <w:t xml:space="preserve">Genossenschaftsregisterverordnung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Sobald mit der vollständigen Verteilung des Genossenschaftsvermögens die Liquidation beendigt ist, haben die Liquidatoren die Beendigung ihrer Vertretungsbefugnis zur Eintragung anzumelden.</w:t>
      </w:r>
    </w:p>
    <w:p>
      <w:r>
        <w:t xml:space="preserve">(2) Von Amts wegen auf Grund der Mitteilung der Geschäftsstelle des Insolvenzgerichts sind einzutragen (§ 102 des Gesetzes)</w:t>
      </w:r>
    </w:p>
    <w:p>
      <w:pPr>
        <w:ind w:left="420"/>
      </w:pPr>
      <w:r>
        <w:t xml:space="preserve">1. die Aufhebung des Eröffnungsbeschlusses,</w:t>
      </w:r>
    </w:p>
    <w:p>
      <w:pPr>
        <w:ind w:left="420"/>
      </w:pPr>
      <w:r>
        <w:t xml:space="preserve">2. die Bestellung eines vorläufigen Insolvenzverwalters unter den Voraussetzungen des § 102 Satz 2 Nr. 2 des Gesetzes,</w:t>
      </w:r>
    </w:p>
    <w:p>
      <w:pPr>
        <w:ind w:left="420"/>
      </w:pPr>
      <w:r>
        <w:t xml:space="preserve">3. die Anordnung der Eigenverwaltung durch den Schuldner und deren Aufhebung sowie die Anordnung der Zustimmungsbedürftigkeit bestimmter Rechtsgeschäfte des Schuldners nach § 277 der Insolvenzordnung,</w:t>
      </w:r>
    </w:p>
    <w:p>
      <w:pPr>
        <w:ind w:left="420"/>
      </w:pPr>
      <w:r>
        <w:t xml:space="preserve">4. die Einstellung und die Aufhebung des Insolvenzverfahrens und</w:t>
      </w:r>
    </w:p>
    <w:p>
      <w:pPr>
        <w:ind w:left="420"/>
      </w:pPr>
      <w:r>
        <w:t xml:space="preserve">5. die Überwachung der Erfüllung eines Insolvenzplans und die Aufhebung der Überwachung.</w:t>
      </w:r>
    </w:p>
    <w:p>
      <w:r>
        <w:rPr>
          <w:color w:val="555555"/>
          <w:sz w:val="17"/>
        </w:rPr>
        <w:t xml:space="preserve">Zitiervorschlag: § 21 GenRegV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https://recht.nulegal.eu/gesetze/GenRegV/21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