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GenG — Eröffnung des Insolvenzverfahrens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19 Abs. 1 der Insolvenzordnung ist bei einer Genossenschaft die Überschuldung nur dann Grund für die Eröffnung des Insolvenzverfahrens, wenn</w:t>
      </w:r>
    </w:p>
    <w:p>
      <w:pPr>
        <w:ind w:left="420"/>
      </w:pPr>
      <w:r>
        <w:t xml:space="preserve">1. die Mitglieder Nachschüsse bis zu einer Haftsumme zu leisten haben und die Überschuldung ein Viertel des Gesamtbetrags der Haftsummen aller Mitglieder übersteigt,</w:t>
      </w:r>
    </w:p>
    <w:p>
      <w:pPr>
        <w:ind w:left="420"/>
      </w:pPr>
      <w:r>
        <w:t xml:space="preserve">2. die Mitglieder keine Nachschüsse zu leisten haben oder</w:t>
      </w:r>
    </w:p>
    <w:p>
      <w:pPr>
        <w:ind w:left="420"/>
      </w:pPr>
      <w:r>
        <w:t xml:space="preserve">3. die Genossenschaft aufgelöst ist.</w:t>
      </w:r>
    </w:p>
    <w:p>
      <w:r>
        <w:rPr>
          <w:color w:val="555555"/>
          <w:sz w:val="17"/>
        </w:rPr>
        <w:t xml:space="preserve">Zitiervorschlag: § 98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