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GenG — Wirkung der Eintragung der Nichtigkeit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Nichtigkeit einer Genossenschaft in das Genossenschaftsregister eingetragen, so finden zum Zweck der Abwicklung ihrer Verhältnisse die für den Fall der Auflösung geltenden Vorschriften entsprechende Anwendung.</w:t>
      </w:r>
    </w:p>
    <w:p>
      <w:r>
        <w:t xml:space="preserve">(2) Die Wirksamkeit der im Namen der Genossenschaft mit Dritten vorgenommenen Rechtsgeschäfte wird durch die Nichtigkeit nicht berührt.</w:t>
      </w:r>
    </w:p>
    <w:p>
      <w:r>
        <w:t xml:space="preserve">(3) Soweit die Mitglieder eine Haftung für die Verbindlichkeiten der Genossenschaft übernommen haben, sind sie verpflichtet, die zur Befriedigung der Gläubiger erforderlichen Beträge nach Maßgabe der Vorschriften des Abschnitts 7 zu leisten.</w:t>
      </w:r>
    </w:p>
    <w:p>
      <w:r>
        <w:rPr>
          <w:color w:val="555555"/>
          <w:sz w:val="17"/>
        </w:rPr>
        <w:t xml:space="preserve">Zitiervorschlag: § 97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