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GenG — Aufbewahrung von Unterlagen</w:t>
      </w:r>
    </w:p>
    <w:p>
      <w:r>
        <w:rPr>
          <w:color w:val="555555"/>
          <w:sz w:val="18"/>
        </w:rPr>
        <w:t xml:space="preserve">Genossenschaftsgesetz</w:t>
      </w:r>
    </w:p>
    <w:p>
      <w:r>
        <w:rPr>
          <w:color w:val="555555"/>
          <w:sz w:val="18"/>
        </w:rPr>
        <w:t xml:space="preserve">Stand: 10.06.2019 (konsolidierte Textfassung, kein amtliches Inkrafttretensdatum)</w:t>
      </w:r>
    </w:p>
    <w:p>
      <w:r>
        <w:t xml:space="preserve">Nach Beendigung der Liquidation sind die Bücher und Schriften der aufgelösten Genossenschaft für zehn Jahre einem ihrer ehemaligen Mitglieder oder einem Dritten in Verwahrung zu geben. Ist die Person weder durch Satzung noch durch einen Beschluss der Generalversammlung benannt, wird sie durch das Gericht bestimmt. Das Gericht kann die ehemaligen Mitglieder und deren Rechtsnachfolger sowie die Gläubiger der Genossenschaft ermächtigen, die Bücher und Schriften einzusehen.</w:t>
      </w:r>
    </w:p>
    <w:p>
      <w:r>
        <w:rPr>
          <w:color w:val="555555"/>
          <w:sz w:val="17"/>
        </w:rPr>
        <w:t xml:space="preserve">Zitiervorschlag: § 93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