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GenG — Verteilung des Vermögens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Verteilung des Vermögens unter die einzelnen Mitglieder erfolgt bis zum Gesamtbetrag ihrer auf Grund der Eröffnungsbilanz ermittelten Geschäftsguthaben nach dem Verhältnis der letzteren. Waren die Mitglieder nach § 87a Abs. 2 zu Zahlungen herangezogen worden, so sind zunächst diese Zahlungen nach dem Verhältnis der geleisteten Beträge zu erstatten. Bei Ermittlung der einzelnen Geschäftsguthaben bleiben für die Verteilung des Gewinns oder Verlustes, welcher sich für den Zeitraum zwischen dem letzten Jahresabschluss und der Eröffnungsbilanz ergeben hat, die seit dem letzten Jahresabschluss geleisteten Einzahlungen außer Betracht. Der Gewinn aus diesem Zeitraum ist dem Guthaben auch insoweit zuzuschreiben, als dadurch der Geschäftsanteil überschritten wird.</w:t>
      </w:r>
    </w:p>
    <w:p>
      <w:r>
        <w:t xml:space="preserve">(2) Überschüsse, welche sich über den Gesamtbetrag dieser Guthaben hinaus ergeben, sind nach Köpfen zu verteilen.</w:t>
      </w:r>
    </w:p>
    <w:p>
      <w:r>
        <w:t xml:space="preserve">(3) Durch die Satzung kann die Verteilung des Vermögens ausgeschlossen oder ein anderes Verhältnis für die Verteilung bestimmt werden.</w:t>
      </w:r>
    </w:p>
    <w:p>
      <w:r>
        <w:rPr>
          <w:color w:val="555555"/>
          <w:sz w:val="17"/>
        </w:rPr>
        <w:t xml:space="preserve">Zitiervorschlag: § 91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