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GenG — Mindestkapital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Satzung kann ein Mindestkapital der Genossenschaft bestimmt werden, das durch die Auszahlung des Auseinandersetzungsguthabens von Mitgliedern, die ausgeschieden sind oder einzelne Geschäftsanteile gekündigt haben, nicht unterschritten werden darf.</w:t>
      </w:r>
    </w:p>
    <w:p>
      <w:r>
        <w:t xml:space="preserve">(2) Bestimmt die Satzung ein Mindestkapital, ist die Auszahlung des Auseinandersetzungsguthabens ausgesetzt, solange durch die Auszahlung das Mindestkapital unterschritten würde. Das Nähere regelt die Satzung.</w:t>
      </w:r>
    </w:p>
    <w:p>
      <w:r>
        <w:rPr>
          <w:color w:val="555555"/>
          <w:sz w:val="17"/>
        </w:rPr>
        <w:t xml:space="preserve">Zitiervorschlag: § 8a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