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GenG — Rechte und Pflichten der Liquidatoren</w:t>
      </w:r>
    </w:p>
    <w:p>
      <w:r>
        <w:rPr>
          <w:color w:val="555555"/>
          <w:sz w:val="18"/>
        </w:rPr>
        <w:t xml:space="preserve">Genossenschaftsgesetz</w:t>
      </w:r>
    </w:p>
    <w:p>
      <w:r>
        <w:rPr>
          <w:color w:val="555555"/>
          <w:sz w:val="18"/>
        </w:rPr>
        <w:t xml:space="preserve">Stand: 01.08.2022 (konsolidierte Textfassung, kein amtliches Inkrafttretensdatum)</w:t>
      </w:r>
    </w:p>
    <w:p>
      <w:r>
        <w:t xml:space="preserve">Die Liquidatoren haben die aus den §§ 26, 27, 33 Abs. 1 Satz 1, §§ 34, 44 bis 47, 48 Abs. 3, §§ 51, 57 bis 59 sich ergebenden Rechte und Pflichten des Vorstands und unterliegen gleich diesem der Überwachung des Aufsichtsrats. Sie haben für den Beginn der Liquidation eine Bilanz (Eröffnungsbilanz) sowie für den Schluss eines jeden Jahres einen Jahresabschluss und erforderlichenfalls einen Lagebericht aufzustellen. Die Eröffnungsbilanz ist nach § 339 des Handelsgesetzbuchs offenzulegen.</w:t>
      </w:r>
    </w:p>
    <w:p>
      <w:r>
        <w:rPr>
          <w:color w:val="555555"/>
          <w:sz w:val="17"/>
        </w:rPr>
        <w:t xml:space="preserve">Zitiervorschlag: § 89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