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88a GenG — Abtretbarkeit der Ansprüche auf rückständige Einzahlungen und anteilige Fehlbeträge</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Liquidatoren können den Anspruch der Genossenschaft auf rückständige Einzahlungen auf den Geschäftsanteil und den Anspruch auf anteilige Fehlbeträge nach § 73 Abs. 2 Satz 4 mit Zustimmung des Prüfungsverbandes abtreten.</w:t>
      </w:r>
    </w:p>
    <w:p>
      <w:r>
        <w:t xml:space="preserve">(2) Der Prüfungsverband soll nur zustimmen, wenn der Anspruch an eine genossenschaftliche Zentralbank oder an eine der Prüfung durch einen Prüfungsverband unterstehende Stelle abgetreten wird und schutzwürdige Belange der Mitglieder nicht entgegenstehen.</w:t>
      </w:r>
    </w:p>
    <w:p>
      <w:r>
        <w:rPr>
          <w:color w:val="555555"/>
          <w:sz w:val="17"/>
        </w:rPr>
        <w:t xml:space="preserve">Zitiervorschlag: § 88a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https://recht.nulegal.eu/gesetze/GenG/88a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