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87a GenG — Zahlungspflichten bei Überschuldung</w:t>
      </w:r>
    </w:p>
    <w:p>
      <w:r>
        <w:rPr>
          <w:color w:val="555555"/>
          <w:sz w:val="18"/>
        </w:rPr>
        <w:t xml:space="preserve">Genossenschaftsgesetz</w:t>
      </w:r>
    </w:p>
    <w:p>
      <w:r>
        <w:rPr>
          <w:color w:val="555555"/>
          <w:sz w:val="18"/>
        </w:rPr>
        <w:t xml:space="preserve">Stand: 10.06.2019 (konsolidierte Textfassung, kein amtliches Inkrafttretensdatum)</w:t>
      </w:r>
    </w:p>
    <w:p>
      <w:r>
        <w:t xml:space="preserve">(1) Ergibt sich bei Aufstellung der Liquidationseröffnungsbilanz, einer späteren Jahresbilanz oder einer Zwischenbilanz oder ist bei pflichtmäßigem Ermessen anzunehmen, dass das Vermögen auch unter Berücksichtigung fälliger, rückständiger Einzahlungen die Schulden nicht mehr deckt, so kann die Generalversammlung beschließen, dass die Mitglieder, die ihren Geschäftsanteil noch nicht voll eingezahlt haben, zu weiteren Einzahlungen auf den Geschäftsanteil verpflichtet sind, soweit dies zur Deckung des Fehlbetrags erforderlich ist. Der Beschlussfassung der Generalversammlung stehen abweichende Bestimmungen der Satzung nicht entgegen.</w:t>
      </w:r>
    </w:p>
    <w:p>
      <w:r>
        <w:t xml:space="preserve">(2) Reichen die weiteren Einzahlungen auf den Geschäftsanteil zur Deckung des Fehlbetrags nicht aus, kann die Generalversammlung beschließen, dass die Mitglieder nach dem Verhältnis ihrer Geschäftsanteile bis zur Deckung des Fehlbetrags weitere Zahlungen zu leisten haben. Für Genossenschaften, bei denen die Mitglieder keine Nachschüsse zur Insolvenzmasse zu leisten haben, gilt dies nur, wenn die Satzung dies bestimmt. Ein Mitglied kann zu weiteren Zahlungen höchstens bis zu dem Betrag in Anspruch genommen werden, der dem Gesamtbetrag seiner Geschäftsanteile entspricht. Absatz 1 Satz 2 gilt entsprechend. Bei der Feststellung des Verhältnisses der Geschäftsanteile und des Gesamtbetrags der Geschäftsanteile gelten als Geschäftsanteile eines Mitglieds auch die Geschäftsanteile, die es entgegen den Bestimmungen der Satzung über eine Pflichtbeteiligung noch nicht übernommen hat.</w:t>
      </w:r>
    </w:p>
    <w:p>
      <w:r>
        <w:t xml:space="preserve">(3) Die Beschlüsse bedürfen einer Mehrheit, die mindestens drei Viertel der abgegebenen Stimmen umfasst. Die Satzung kann eine größere Mehrheit und weitere Erfordernisse bestimmen.</w:t>
      </w:r>
    </w:p>
    <w:p>
      <w:r>
        <w:t xml:space="preserve">(4) Die Beschlüsse dürfen nicht gefasst werden, wenn das Vermögen auch unter Berücksichtigung der weiteren Zahlungspflichten die Schulden nicht mehr deckt.</w:t>
      </w:r>
    </w:p>
    <w:p>
      <w:r>
        <w:rPr>
          <w:color w:val="555555"/>
          <w:sz w:val="17"/>
        </w:rPr>
        <w:t xml:space="preserve">Zitiervorschlag: § 87a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https://recht.nulegal.eu/gesetze/GenG/87a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