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GenG — Zeichnung der Liquidatoren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Liquidatoren haben in der bei ihrer Bestellung bestimmten Form ihre Willenserklärung kundzugeben und für die Genossenschaft zu zeichnen. Ist nichts darüber bestimmt, so muss die Erklärung und Zeichnung durch sämtliche Liquidatoren erfolgen.</w:t>
      </w:r>
    </w:p>
    <w:p>
      <w:r>
        <w:t xml:space="preserve">(2) Die Bestimmung ist mit der Bestellung der Liquidatoren zur Eintragung in das Genossenschaftsregister anzumelden.</w:t>
      </w:r>
    </w:p>
    <w:p>
      <w:r>
        <w:t xml:space="preserve">(3) Die Liquidatoren zeichnen für die Genossenschaft, indem sie der Firma einen die Liquidation andeutenden Zusatz und ihre Namensunterschrift hinzufügen.</w:t>
      </w:r>
    </w:p>
    <w:p>
      <w:r>
        <w:rPr>
          <w:color w:val="555555"/>
          <w:sz w:val="17"/>
        </w:rPr>
        <w:t xml:space="preserve">Zitiervorschlag: § 85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