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GenG — Eintragung der Auflösung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Auflösung der Genossenschaft ist von dem Gericht unverzüglich in das Genossenschaftsregister einzutragen.</w:t>
      </w:r>
    </w:p>
    <w:p>
      <w:r>
        <w:t xml:space="preserve">(2) Sie muss von den Liquidatoren durch die für die Bekanntmachungen der Genossenschaft bestimmten Blätter bekannt gemacht werden. Durch die Bekanntmachung sind zugleich die Gläubiger aufzufordern, sich bei der Genossenschaft zu melden.</w:t>
      </w:r>
    </w:p>
    <w:p>
      <w:r>
        <w:t xml:space="preserve">(3) Im Falle der Löschung der Genossenschaft wegen Vermögenslosigkeit sind die Absätze 1 und 2 nicht anzuwenden.</w:t>
      </w:r>
    </w:p>
    <w:p>
      <w:r>
        <w:rPr>
          <w:color w:val="555555"/>
          <w:sz w:val="17"/>
        </w:rPr>
        <w:t xml:space="preserve">Zitiervorschlag: § 82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